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right="450"/>
        <w:rPr>
          <w:b/>
          <w:color w:val="000000"/>
          <w:sz w:val="30"/>
          <w:szCs w:val="30"/>
        </w:rPr>
      </w:pPr>
      <w:r>
        <w:rPr>
          <w:b/>
          <w:color w:val="000000"/>
          <w:sz w:val="30"/>
          <w:szCs w:val="30"/>
          <w:shd w:val="clear" w:fill="FFFFFF"/>
        </w:rPr>
        <w:t>文物保护工程管理办法</w:t>
      </w:r>
    </w:p>
    <w:p>
      <w:pPr>
        <w:pStyle w:val="3"/>
        <w:keepNext w:val="0"/>
        <w:keepLines w:val="0"/>
        <w:widowControl/>
        <w:suppressLineNumbers w:val="0"/>
        <w:spacing w:line="405" w:lineRule="atLeast"/>
        <w:ind w:right="450"/>
        <w:jc w:val="both"/>
        <w:rPr>
          <w:rFonts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（中华人民共和国文化部令2003年第26号）</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第一章 总 则</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第一条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为进一步加强文物保护工程的管理，根据《中华人民共和国文物保护法》和《中华人民共和国建筑法》的有关规定，制定本办法。</w:t>
      </w:r>
      <w:bookmarkStart w:id="0" w:name="_GoBack"/>
      <w:bookmarkEnd w:id="0"/>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本办法所称文物保护工程，是指对核定为文物保护单位的和其它具有文物价值的古文化遗址、古墓葬、古建筑、石窟寺和石刻、近现代重要史迹及代表性建筑、壁画等不可移动文物进行的保护工程。</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第三条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文物保护工程必须遵守不改变文物原状的原则，全面地保存、延续文物的真实历史信息和价值；按照国际、国内公认的准则，保护文物本体及与之相关的历史、人文和自然环境。</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第四条 文物保护单位应当制定专项的总体保护规划，文物保护工程应当依据批准的规划进行。</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第五条 文物保护工程分为：保养维护工程、抢险加固工程、修缮工程、保护性设施建设工程、迁移工程等。</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（一）保养维护工程，系指针对文物的轻微损害所作的日常性、季节性的养护。</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（二）抢险加固工程，系指文物突发严重危险时，由于时间、技术、经费等条件的限制，不能进行彻底修缮而对文物采取具有可逆性的临时抢险加固措施的工程。</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（三）修缮工程，系指为保护文物本体所必需的结构加固处理和维修，包括结合结构加固而进行的局部复原工程。</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（四）保护性设施建设工程，系指为保护文物而附加安全防护设施的工程。</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（五）迁移工程，系指因保护工作特别需要，并无其它更为有效的手段时所采取的将文物整体或局部搬迁、异地保护的工程。</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第六条 国家文物局负责全国文物保护工程的管理，并组织制定文物保护工程的相关规范、标准和定额。</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第七条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具有法人资格的文物管理或使用单位，包括经国家批准，使用文物保护单位的机关、团体、部队、学校、宗教组织和其它企事业单位，为文物保护工程的业主单位。</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第八条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承担文物保护工程的勘察、设计、施工、监理单位必须具有国家文物局认定的文物保护工程资质。资质认定办法和分级标准由国家文物局另行制定。</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第九条 文物保护工程管理主要指立项、勘察设计、施工、监理及验收管理。</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第二章 立项与勘察设计</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第十条 文物保护工程按照文物保护单位级别实行分级管理，并按以下规定履行报批程序：</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（一）全国重点文物保护单位保护工程，以省、自治区、直辖市文物行政部门为申报机关，国家文物局为审批机关。</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（二）省、自治区、直辖市级文物保护单位保护工程以文物所在地的市、县级文物行政部门为申报机关，省、自治区、直辖市文物行政部门为审批机关。</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市县级文物保护单位及未核定为文物保护单位的不可移动文物的保护工程的申报机关、审批机关由省级文物行政部门确定。</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第十一条 保养维护工程由文物使用单位列入每年的工作计划和经费预算，并报省、自治区、直辖市文物行政部门备案。</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抢险加固工程、修缮工程、保护性设施建设工程的立项与勘察设计方案按本办法第十条的规定履行报批程序。抢险加固工程中确因情况紧急需要即刻实施的，可在实施的同时补报。</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迁移工程按《中华人民共和国文物保护法》第二十条的规定获得批准后，按本办法第十条的规定报批勘察设计方案。</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第十二条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因特殊情况需要在原址重建已经全部毁坏的不可移动文物的，按《中华人民共和国文物保护法》第二十二条的规定获得批准后，按本办法第十条的规定报批勘察设计方案。</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第十三条 工程项目的立项申报资料包括以下内容：</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（一）工程业主单位及上级主管部门名称；</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（二）拟立项目名称、地点，文物保护单位级别、时代，保护范围与建设控制地带的划定、公布与执行情况；</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（三）保护工程必要性与实施可能性的技术文件与形象资料（录像或照片）；</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（四）经费估算、来源及计划工期安排；</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（五）拟聘请的勘察设计单位名称及资信。</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第十四条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已立项的文物保护工程应当申报勘察、方案设计和施工技术设计文件。重大工程要在方案获得批准后，再进行技术设计。</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第十五条 勘察和方案设计文件包括：</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（一）反映文物历史状况、固有特征和损害情况的勘察报告、实测图、照片；</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（二）保护工程方案、设计图及相关技术文件；</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（三）工程设计概算；</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（四）必要时应提供考古勘探发掘资料、材料试验报告书、环境污染情况报告书、工程地质和水文地质资料及勘探报告。</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第十六条 施工技术设计文件包括：</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（一）施工图；</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（二）设计说明书；</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（三）施工图预算；</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（四）相关材料试验报告及检测鉴定结果。</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第三章 施工、监理与验收</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第十七条 文物保护工程中的修缮工程、保护性设施建设工程和迁移工程实行招投标和工程监理。</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第十八条 重要文物保护工程按本办法第十条规定的程序报批招标文件及拟选用的施工单位。</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第十九条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文物保护工程必须遵守国家有关施工的法律、法规和规章、规范，购置的工程材料应当符合文物保护工程质量的要求。施工单位应当严格按照设计文件的要求进行施工，其工作程序为：</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（一）依据设计文件，编制施工方案；</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（二）施工人员进场前要接受文物保护相关知识的培训；</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（三）按文物保护工程的要求作好施工记录和施工统计文件，收集有关文物资料；</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（四）进行质量自检，对工程的隐蔽部分必须与业主单位、设计单位、监理单位共同检验并做好记录；</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（五）提交竣工资料；</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（六）按合同约定负责保修，保修期限自竣工验收之日起计算，除保养维护、抢险加固工程以外，不少于五年。</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第二十条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施工过程中如发现新的文物、有关资料或其它影响文物保护的重大问题，要立即记录，保护现场，并经原申报机关向原审批机关报告，请示处理办法。</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第二十一条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施工过程中如需变更或补充已批准的技术设计，由工程业主单位、设计单位和施工单位共同现场洽商，并报原申报机关备案；如需变更已批准的工程项目或方案设计中的重要内容，必须经原申报机关报审批机关批准。</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第二十二条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文物保护工程应当按工序分阶段验收。重大工程告一段落时，项目的审批机关应当组织或者委托有关单位进行阶段验收。</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第二十三条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工程竣工后，由业主单位会同设计单位、施工单位、监理单位对工程质量进行验评，并提交工程总结报告、竣工报告、竣工图纸、财务决算书及说明等资料，经原申报机关初验合格后报审批机关。项目的审批机关视工程项目的实际情况成立验收小组或者委托有关单位，组织竣工验收。</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第二十四条 对工程验收中发现的质量问题，由业主单位及时组织整改。</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xml:space="preserve">　　第二十五条 </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文物保护工程的业主单位、勘察设计单位、施工单位、申报机关和审批机关应当建立有关工程行政、技术和财务文件的档案管理制度。所有工程资料应当立卷存档并归入文物保护单位记录档案。</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重要工程应当在验收后三年内发表技术报告。</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第四章 奖励与处罚</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第二十六条 文物保护工程设立优秀工程奖，具体办法由国家文物局制定。</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第二十七条 违反本办法、或对文物造成破坏的，按《中华人民共和国文物保护法》及国务院有关规定处罚。</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第五章 附则</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第二十八条 非国有不可移动文物的保护维修，参照执行本办法。</w:t>
      </w:r>
    </w:p>
    <w:p>
      <w:pPr>
        <w:pStyle w:val="3"/>
        <w:keepNext w:val="0"/>
        <w:keepLines w:val="0"/>
        <w:widowControl/>
        <w:suppressLineNumbers w:val="0"/>
        <w:spacing w:line="405" w:lineRule="atLeast"/>
        <w:ind w:right="450"/>
        <w:jc w:val="both"/>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fill="FFFFFF"/>
        </w:rPr>
        <w:t>　　第二十九条 以前发布的规章与本办法相抵触的，以本办法的规定为准。</w:t>
      </w: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r>
        <w:rPr>
          <w:rFonts w:hint="eastAsia" w:ascii="微软雅黑" w:hAnsi="微软雅黑" w:eastAsia="微软雅黑" w:cs="微软雅黑"/>
          <w:color w:val="333333"/>
          <w:sz w:val="21"/>
          <w:szCs w:val="21"/>
          <w:shd w:val="clear" w:fill="FFFFFF"/>
        </w:rPr>
        <w:t>第三十条 本办法自２００３年５月１日起施行。</w:t>
      </w: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firstLine="42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333333"/>
          <w:sz w:val="21"/>
          <w:szCs w:val="21"/>
          <w:shd w:val="clear" w:fill="FFFFFF"/>
        </w:rPr>
      </w:pPr>
    </w:p>
    <w:p>
      <w:pPr>
        <w:pStyle w:val="3"/>
        <w:keepNext w:val="0"/>
        <w:keepLines w:val="0"/>
        <w:widowControl/>
        <w:suppressLineNumbers w:val="0"/>
        <w:spacing w:line="405" w:lineRule="atLeast"/>
        <w:ind w:right="450"/>
        <w:jc w:val="both"/>
        <w:rPr>
          <w:rFonts w:ascii="微软雅黑" w:hAnsi="微软雅黑" w:eastAsia="微软雅黑" w:cs="微软雅黑"/>
          <w:color w:val="DC0002"/>
          <w:sz w:val="33"/>
          <w:szCs w:val="33"/>
          <w:u w:val="none"/>
        </w:rPr>
      </w:pPr>
      <w:r>
        <w:rPr>
          <w:rFonts w:ascii="微软雅黑" w:hAnsi="微软雅黑" w:eastAsia="微软雅黑" w:cs="微软雅黑"/>
          <w:color w:val="DC0002"/>
          <w:sz w:val="33"/>
          <w:szCs w:val="33"/>
          <w:u w:val="none"/>
        </w:rPr>
        <w:t>国家文物局印发《关于加强尚未核定公布为文物保护单位的不可移动文物保护工作的通知》</w:t>
      </w:r>
    </w:p>
    <w:p>
      <w:pPr>
        <w:pStyle w:val="3"/>
        <w:keepNext w:val="0"/>
        <w:keepLines w:val="0"/>
        <w:widowControl/>
        <w:suppressLineNumbers w:val="0"/>
        <w:spacing w:line="390" w:lineRule="atLeast"/>
        <w:jc w:val="left"/>
      </w:pPr>
      <w:r>
        <w:rPr>
          <w:rFonts w:hint="eastAsia" w:ascii="宋体" w:hAnsi="宋体" w:eastAsia="宋体" w:cs="宋体"/>
          <w:color w:val="3D3D3D"/>
          <w:sz w:val="21"/>
          <w:szCs w:val="21"/>
          <w:u w:val="none"/>
        </w:rPr>
        <w:t>国家文物局日前向各省、自治区、直辖市文物局（文化厅）印发《关于加强尚未核定公布为文物保护单位的不可移动文物保护工作的通知》（以下简称《通知》）。《通知》指出，尚未核定公布为文物保护单位的不可移动文物（以下简称“一般不可移动文物”），是我国不可移动文物资源的基础组成部分，与各级文物保护单位共同构成了不可移动文物资源整体。为进一步落实国务院《关于进一步加强文物工作的指导意见》，切实做好城镇化进程中的一般不可移动文物保护管理工作，有效遏制其快速消失的趋势。   </w:t>
      </w:r>
    </w:p>
    <w:p>
      <w:pPr>
        <w:pStyle w:val="3"/>
        <w:keepNext w:val="0"/>
        <w:keepLines w:val="0"/>
        <w:widowControl/>
        <w:suppressLineNumbers w:val="0"/>
        <w:spacing w:line="390" w:lineRule="atLeast"/>
        <w:jc w:val="left"/>
      </w:pPr>
      <w:r>
        <w:rPr>
          <w:rFonts w:hint="eastAsia" w:ascii="宋体" w:hAnsi="宋体" w:eastAsia="宋体" w:cs="宋体"/>
          <w:color w:val="3D3D3D"/>
          <w:sz w:val="21"/>
          <w:szCs w:val="21"/>
          <w:u w:val="none"/>
        </w:rPr>
        <w:t>   《通知》要求：</w:t>
      </w:r>
      <w:r>
        <w:rPr>
          <w:rFonts w:hint="eastAsia" w:ascii="宋体" w:hAnsi="宋体" w:eastAsia="宋体" w:cs="宋体"/>
          <w:color w:val="3D3D3D"/>
          <w:sz w:val="21"/>
          <w:szCs w:val="21"/>
          <w:u w:val="none"/>
        </w:rPr>
        <w:br w:type="textWrapping"/>
      </w:r>
      <w:r>
        <w:rPr>
          <w:rFonts w:hint="eastAsia" w:ascii="宋体" w:hAnsi="宋体" w:eastAsia="宋体" w:cs="宋体"/>
          <w:color w:val="3D3D3D"/>
          <w:sz w:val="21"/>
          <w:szCs w:val="21"/>
          <w:u w:val="none"/>
        </w:rPr>
        <w:t xml:space="preserve">      </w:t>
      </w:r>
      <w:r>
        <w:rPr>
          <w:rStyle w:val="6"/>
          <w:rFonts w:hint="eastAsia" w:ascii="宋体" w:hAnsi="宋体" w:eastAsia="宋体" w:cs="宋体"/>
          <w:color w:val="3D3D3D"/>
          <w:sz w:val="21"/>
          <w:szCs w:val="21"/>
          <w:u w:val="none"/>
        </w:rPr>
        <w:t>一、提高认识，充分认识尚未核定公布为文物保护单位的不可移动文物保护工作的重要性</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尚未核定公布为文物保护单位的不可移动文物约占不可移动文物总量的80%，数量丰富、类型多样、分布广泛，是中华传统优秀文化的实物载体和中华民族历史记忆的传承纽带。加强尚未核定公布为文物保护单位的不可移动文物保护工作，对于全面提高我国文物保护工作的整体水平，统筹协调经济社会发展，传承历史文脉，具有十分重要的意义。</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级文物行政部门应从文物事业全面发展的战略高度，提高认识，坚持“保护为主，抢救第一，合理利用，加强管理”的文物工作方针，将尚未核定公布为文物保护单位的不可移动文物保护作为重要基础工作，加强统筹规划，完善保护体系，健全管理机制，制定保护措施，扎实推进尚未核定公布为文物保护单位的不可移动文物保护管理工作。</w:t>
      </w:r>
    </w:p>
    <w:p>
      <w:pPr>
        <w:pStyle w:val="3"/>
        <w:keepNext w:val="0"/>
        <w:keepLines w:val="0"/>
        <w:widowControl/>
        <w:suppressLineNumbers w:val="0"/>
        <w:spacing w:line="390" w:lineRule="atLeast"/>
        <w:ind w:left="0" w:firstLine="420"/>
        <w:jc w:val="left"/>
      </w:pPr>
      <w:r>
        <w:rPr>
          <w:rStyle w:val="6"/>
          <w:rFonts w:hint="eastAsia" w:ascii="宋体" w:hAnsi="宋体" w:eastAsia="宋体" w:cs="宋体"/>
          <w:color w:val="3D3D3D"/>
          <w:sz w:val="21"/>
          <w:szCs w:val="21"/>
          <w:u w:val="none"/>
        </w:rPr>
        <w:t>二、完善工作机制，认真做好尚未核定公布为文物保护单位的不可移动文物管理工作</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地应结合实际情况，制定本区域内尚未核定公布为文物保护单位的不可移动文物保护管理办法，加强尚未核定公布为文物保护单位的不可移动文物精细化管理制度建设。县级文物行政部门应探索建立尚未核定公布为文物保护单位的不可移动文物登录、发布机制，可牵头成立由文物、文化、住建、民政、地方志等部门以及专家、社会公众代表等组成的文物审查委员会，审核、确定尚未核定公布为文物保护单位的不可移动文物价值和保护措施。</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已登记公布的尚未核定公布为文物保护单位的不可移动文物，应及时编写资料档案，设立保护标志。资料档案和保护标志中应包括文物名称、本体构成、文物年代、权属性质、登记日期和登记机关等内容。在第三次全国文物普查后新发现的不可移动文物，县级文物行政部门应及时登记公布；涉及非国有不可移动文物的，应事先征得文物所有人同意。价值较高的尚未核定公布为文物保护单位的不可移动文物，应报请各级人民政府核定公布为各级文物保护单位；报请前应组织专家充分论证其价值内涵，并广泛听取社会各方意见。</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建设工程选址应坚持尽可能避开尚未核定公布为文物保护单位的不可移动文物，尽可能实施原址保护的原则，因自然灾害、城乡建设等原因造成尚未核定公布为文物保护单位的不可移动文物本体不存或损毁殆尽无法修复、经文物审查委员会核查确已不具有文物价值的，可提出拟撤销登记文物意见，由登记公布该文物的文物行政部门向社会公示；公示无异议的，可予以撤销并向社会公布，同时报上级文物行政部门备案。撤销登记应当记入文物资料档案。撤销登记的国有不可移动文物中具有收藏价值的壁画、雕塑、建筑构件等，由文物行政部门指定的国有文物收藏单位收藏。</w:t>
      </w:r>
    </w:p>
    <w:p>
      <w:pPr>
        <w:pStyle w:val="3"/>
        <w:keepNext w:val="0"/>
        <w:keepLines w:val="0"/>
        <w:widowControl/>
        <w:suppressLineNumbers w:val="0"/>
        <w:spacing w:line="390" w:lineRule="atLeast"/>
        <w:ind w:left="0" w:firstLine="420"/>
        <w:jc w:val="left"/>
      </w:pPr>
      <w:r>
        <w:rPr>
          <w:rStyle w:val="6"/>
          <w:rFonts w:hint="eastAsia" w:ascii="宋体" w:hAnsi="宋体" w:eastAsia="宋体" w:cs="宋体"/>
          <w:color w:val="3D3D3D"/>
          <w:sz w:val="21"/>
          <w:szCs w:val="21"/>
          <w:u w:val="none"/>
        </w:rPr>
        <w:t>三、采取有效措施，切实改善尚未核定公布为文物保护单位的不可移动文物保护状况</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县级文物行政部门应根据县域内尚未核定公布为文物保护单位的不可移动文物保护管理现状和文物分布特点，探索建立符合工作需要、具有可操作性的保护措施。应全面调查、科学评估县域内尚未核定公布为文物保护单位的不可移动文物的总体保存状况，并研提分类保护管理要求和具体措施，提供政策咨询和专业技术指导。</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县级文物行政部门应指导督促做好尚未核定公布为文物保护单位的不可移动文物日常保养维护工作，重视文物的日常检查巡查，及时发现并解决存在的问题，消除文物安全隐患。保存状况较差、险情严重的尚未核定公布为文物保护单位的不可移动文物，应抓紧组织开展抢救保护工作，切实改善文物保护状况和保存环境。保护过程中应遵循不改变文物原状和最小干预原则，全面保存、延续文物的真实历史信息和价值。对于一时难以解决的问题，应及时向当地人民政府报告并积极争取相关部门支持。</w:t>
      </w:r>
    </w:p>
    <w:p>
      <w:pPr>
        <w:pStyle w:val="3"/>
        <w:keepNext w:val="0"/>
        <w:keepLines w:val="0"/>
        <w:widowControl/>
        <w:suppressLineNumbers w:val="0"/>
        <w:spacing w:line="390" w:lineRule="atLeast"/>
        <w:ind w:left="0" w:firstLine="420"/>
        <w:jc w:val="left"/>
      </w:pPr>
      <w:r>
        <w:rPr>
          <w:rStyle w:val="6"/>
          <w:rFonts w:hint="eastAsia" w:ascii="宋体" w:hAnsi="宋体" w:eastAsia="宋体" w:cs="宋体"/>
          <w:color w:val="3D3D3D"/>
          <w:sz w:val="21"/>
          <w:szCs w:val="21"/>
          <w:u w:val="none"/>
        </w:rPr>
        <w:t>四、加强指导，积极鼓励社会力量参与尚未核定公布为文物保护单位的不可移动文物保护利用工作</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文物所有人、使用人是文物保护管理的责任主体。县级文物行政部门应增强服务意识，主动提供技术指导，通过签订文物保护责任书的方式，进一步明晰、落实文物所有人、使用人的保护管理责任。国有尚未核定公布为文物保护单位的不可移动文物由县级文物行政部门和使用人签订文物保护责任书，由使用人承担保护管理责任;没有使用人的，应由县级文物行政部门负责保护工作。非国有尚未核定公布为文物保护单位的不可移动文物，由县级文物行政部门与所有人签订文物保护责任书。</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级文物行政部门应创新管理，拓宽渠道，鼓励引导社会力量参与尚未核定公布为文物保护单位的不可移动文物保护利用。在保护利用过程中，应坚持公益属性，发挥文物的公共文化服务和社会教育功能。要充分发挥文物保护社会组织和志愿者团队的作用，利用公益性基金等平台筹措保护资金，依托“互联网+”等新手段丰富文物展示利用内容；推广政府和社会资本合作（PPP）模式，公布文物利用的项目清单，让社会团体或企业自主选择利用形式和运营模式。社会资本参与国有尚未核定公布为文物保护单位的不可移动文物的保护利用，在保证不破坏文物和不改变所有权的前提下，可允许出资方享有一定的使用权。</w:t>
      </w:r>
    </w:p>
    <w:p>
      <w:pPr>
        <w:pStyle w:val="3"/>
        <w:keepNext w:val="0"/>
        <w:keepLines w:val="0"/>
        <w:widowControl/>
        <w:suppressLineNumbers w:val="0"/>
        <w:spacing w:line="390" w:lineRule="atLeast"/>
        <w:ind w:left="0" w:firstLine="420"/>
        <w:jc w:val="left"/>
      </w:pPr>
      <w:r>
        <w:rPr>
          <w:rStyle w:val="6"/>
          <w:rFonts w:hint="eastAsia" w:ascii="宋体" w:hAnsi="宋体" w:eastAsia="宋体" w:cs="宋体"/>
          <w:color w:val="3D3D3D"/>
          <w:sz w:val="21"/>
          <w:szCs w:val="21"/>
          <w:u w:val="none"/>
        </w:rPr>
        <w:t>五、加强引导，妥善处理尚未核定公布为文物保护单位的不可移动文物保护与城乡建设的关系</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地应重视尚未核定公布为文物保护单位的不可移动文物的保护利用工作，将其纳入文物事业整体规划，纳入区域经济社会发展规划；在编制城乡发展规划时，应统筹考虑尚未核定公布为文物保护单位的不可移动文物保护管理的需求。不可移动文物密集县域，县级文物行政部门应组织编制县域文物总体保护规划。</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应协调做好城市发展和新农村建设中的尚未核定公布为文物保护单位的不可移动文物保护工作，明确审批程序、保护原则和要求。建设工程选址，应尽可能避开尚未核定公布为文物保护单位的不可移动文物；因特殊情况无法避开的，应优先实施原址保护；无法实施原址保护的，应实施异地迁移保护或考古发掘。县级文物行政部门应指导做好尚未核定公布为文物保护单位的不可移动文物异地迁移保护的必要性和可行性论证评估，将迁移保护情况向社会公示，并报上级文物行政部门备案。</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地文物行政部门应重视尚未核定公布为文物保护单位的不可移动文物中古遗址古墓葬保护工作，抓紧开展考古调查勘探，进一步明确地下文物分布和保存状况，切实加大保护力度。确因建设工程等原因无法避让地下文物的，应事先开展必要的考古工作，制定有针对性的保护措施；涉及考古发掘的，应履行报批程序。</w:t>
      </w:r>
    </w:p>
    <w:p>
      <w:pPr>
        <w:pStyle w:val="3"/>
        <w:keepNext w:val="0"/>
        <w:keepLines w:val="0"/>
        <w:widowControl/>
        <w:suppressLineNumbers w:val="0"/>
        <w:spacing w:line="390" w:lineRule="atLeast"/>
        <w:ind w:left="0" w:firstLine="420"/>
        <w:jc w:val="left"/>
      </w:pPr>
      <w:r>
        <w:rPr>
          <w:rStyle w:val="6"/>
          <w:rFonts w:hint="eastAsia" w:ascii="宋体" w:hAnsi="宋体" w:eastAsia="宋体" w:cs="宋体"/>
          <w:color w:val="3D3D3D"/>
          <w:sz w:val="21"/>
          <w:szCs w:val="21"/>
          <w:u w:val="none"/>
        </w:rPr>
        <w:t>六、加大执法力度，建立健全尚未核定公布为文物保护单位的不可移动文物监管机制</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级文物行政部门应与公安、国土、建设、规划等部门通力协作，密切配合，借助现代科技手段加强尚未核定公布为文物保护单位的不可移动文物监管，依法查处擅自迁移、拆除和故意损毁尚未核定公布为文物保护单位的不可移动文物的行为，并向社会公开处理结果。</w:t>
      </w:r>
    </w:p>
    <w:p>
      <w:pPr>
        <w:pStyle w:val="3"/>
        <w:keepNext w:val="0"/>
        <w:keepLines w:val="0"/>
        <w:widowControl/>
        <w:suppressLineNumbers w:val="0"/>
        <w:spacing w:line="390" w:lineRule="atLeast"/>
        <w:ind w:left="0" w:firstLine="420"/>
        <w:jc w:val="left"/>
      </w:pPr>
      <w:r>
        <w:rPr>
          <w:rFonts w:hint="eastAsia" w:ascii="宋体" w:hAnsi="宋体" w:eastAsia="宋体" w:cs="宋体"/>
          <w:color w:val="3D3D3D"/>
          <w:sz w:val="21"/>
          <w:szCs w:val="21"/>
          <w:u w:val="none"/>
        </w:rPr>
        <w:t>各级文物行政部门应进一步加大督察力度，完善尚未核定公布为文物保护单位的不可移动文物保护利用情况通报和问责制度，督促地方人民政府、文物所有人和使用人落实保护管理责任，不断提升尚未核定公布为文物保护单位的不可移动文物的保护管理水平。</w:t>
      </w: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pPr>
        <w:pStyle w:val="3"/>
        <w:keepNext w:val="0"/>
        <w:keepLines w:val="0"/>
        <w:widowControl/>
        <w:suppressLineNumbers w:val="0"/>
        <w:spacing w:before="332" w:beforeAutospacing="0" w:after="332" w:afterAutospacing="0" w:line="360" w:lineRule="atLeast"/>
        <w:ind w:left="0" w:right="0"/>
        <w:jc w:val="center"/>
      </w:pPr>
      <w:r>
        <w:rPr>
          <w:rFonts w:ascii="黑体" w:hAnsi="宋体" w:eastAsia="黑体" w:cs="黑体"/>
          <w:color w:val="333333"/>
          <w:sz w:val="36"/>
          <w:szCs w:val="36"/>
          <w:shd w:val="clear" w:fill="FFFFFF"/>
        </w:rPr>
        <w:t>中华人民共和国文物保护法</w:t>
      </w:r>
    </w:p>
    <w:p>
      <w:pPr>
        <w:pStyle w:val="3"/>
        <w:keepNext w:val="0"/>
        <w:keepLines w:val="0"/>
        <w:widowControl/>
        <w:suppressLineNumbers w:val="0"/>
        <w:spacing w:before="332" w:beforeAutospacing="0" w:after="332" w:afterAutospacing="0" w:line="360" w:lineRule="atLeast"/>
        <w:ind w:left="0" w:right="0"/>
        <w:jc w:val="center"/>
      </w:pPr>
      <w:r>
        <w:rPr>
          <w:rFonts w:hint="eastAsia" w:ascii="宋体" w:hAnsi="宋体" w:eastAsia="宋体" w:cs="宋体"/>
          <w:color w:val="333333"/>
          <w:sz w:val="21"/>
          <w:szCs w:val="21"/>
          <w:shd w:val="clear" w:fill="FFFFFF"/>
        </w:rPr>
        <w:t>（1982年11月19日第五届全国人民代表大会常务委员会第二十五次会议通过，根据1991年6月29日第七届全国人民代表大会常务委员会第二十次会议《关于修改〈中华人民共和国文物保护法〉第三十条、第三十一条的决定》第一次修正，2002年10月28日第九届全国人民代表大会常务委员会第三十次会议修订，根据2007年12月29日第十届全国人民代表大会常务委员会第三十一次会议《关于修改〈中华人民共和国文物保护法〉的决定》第二次修正，根据2013年6月29日第十二届全国人民代表大会常务委员会第三次会议《关于修改〈中华人民共和国文物保护法〉等十二部法律的决定》第三次修正，根据2015年4月24日第十二届全国人民代表大会常务委员会第十四次会议《关于修改〈中华人民共和国文物保护法〉的决定》第四次修正，根据2017年11月4日第十二届全国人民代表大会常务委员会第三十次会议《关于修改〈中华人民共和国会计法〉等十一部法律的决定》第五次修正）</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目录</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第一章　总　　则</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第二章　不可移动文物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第三章　考古发掘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第四章　馆藏文物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第五章　民间收藏文物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第六章　文物出境进境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第七章　法律责任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第八章　附　　则</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第一章　总　　则</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第一条　为了加强对文物的保护，继承中华民族优秀的历史文化遗产，促进科学研究工作，进行爱国主义和革命传统教育，建设社会主义精神文明和物质文明，根据宪法，制定本法。</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第二条　在中华人民共和国境内，下列文物受国家保护：</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（一）具有历史、艺术、科学价值的古文化遗址、古墓葬、古建筑、石窟寺和石刻、壁画；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（二）与重大历史事件、革命运动或者著名人物有关的以及具有重要纪念意义、教育意义或者史料价值的近代现代重要史迹、实物、代表性建筑；</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（三）历史上各时代珍贵的艺术品、工艺美术品；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（四）历史上各时代重要的文献资料以及具有历史、艺术、科学价值的手稿和图书资料等；</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（五）反映历史上各时代、各民族社会制度、社会生产、社会生活的代表性实物。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文物认定的标准和办法由国务院文物行政部门制定，并报国务院批准。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具有科学价值的古脊椎动物化石和古人类化石同文物一样受国家保护。</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第三条　古文化遗址、古墓葬、古建筑、石窟寺、石刻、壁画、近代现代重要史迹和代表性建筑等不可移动文物，根据它们的历史、艺术、科学价值，可以分别确定为全国重点文物保护单位，省级文物保护单位，市、县级文物保护单位。</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历史上各时代重要实物、艺术品、文献、手稿、图书资料、代表性实物等可移动文物，分为珍贵文物和一般文物；珍贵文物分为一级文物、二级文物、三级文物。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第四条　文物工作贯彻保护为主、抢救第一、合理利用、加强管理的方针。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第五条　中华人民共和国境内地下、内水和领海中遗存的一切文物，属于国家所有。</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古文化遗址、古墓葬、石窟寺属于国家所有。国家指定保护的纪念建筑物、古建筑、石刻、壁画、近代现代代表性建筑等不可移动文物，除国家另有规定的以外，属于国家所有。</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国有不可移动文物的所有权不因其所依附的土地所有权或者使用权的改变而改变。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下列可移动文物，属于国家所有：</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（一）中国境内出土的文物，国家另有规定的除外；</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（二）国有文物收藏单位以及其他国家机关、部队和国有企业、事业组织等收藏、保管的文物；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（三）国家征集、购买的文物；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（四）公民、法人和其他组织捐赠给国家的文物；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（五）法律规定属于国家所有的其他文物。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属于国家所有的可移动文物的所有权不因其保管、收藏单位的终止或者变更而改变。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国有文物所有权受法律保护，不容侵犯。</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第六条　属于集体所有和私人所有的纪念建筑物、古建筑和祖传文物以及依法取得的其他文物，其所有权受法律保护。文物的所有者必须遵守国家有关文物保护的法律、法规的规定。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第七条　一切机关、组织和个人都有依法保护文物的义务。</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第八条　国务院文物行政部门主管全国文物保护工作。</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地方各级人民政府负责本行政区域内的文物保护工作。县级以上地方人民政府承担文物保护工作的部门对本行政区域内的文物保护实施监督管理。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县级以上人民政府有关行政部门在各自的职责范围内，负责有关的文物保护工作。</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第九条　各级人民政府应当重视文物保护，正确处理经济建设、社会发展与文物保护的关系，确保文物安全。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基本建设、旅游发展必须遵守文物保护工作的方针，其活动不得对文物造成损害。</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公安机关、工商行政管理部门、海关、城乡建设规划部门和其他有关国家机关，应当依法认真履行所承担的保护文物的职责，维护文物管理秩序。</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第十条　国家发展文物保护事业。县级以上人民政府应当将文物保护事业纳入本级国民经济和社会发展规划，所需经费列入本级财政预算。</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国家用于文物保护的财政拨款随着财政收入增长而增加。</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国有博物馆、纪念馆、文物保护单位等的事业性收入，专门用于文物保护，任何单位或者个人不得侵占、挪用。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国家鼓励通过捐赠等方式设立文物保护社会基金，专门用于文物保护，任何单位或者个人不得侵占、挪用。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第十一条　文物是不可再生的文化资源。国家加强文物保护的宣传教育，增强全民文物保护的意识，鼓励文物保护的科学研究，提高文物保护的科学技术水平。</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第十二条　有下列事迹的单位或者个人，由国家给予精神鼓励或者物质奖励：</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（一）认真执行文物保护法律、法规，保护文物成绩显著的；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（二）为保护文物与违法犯罪行为作坚决斗争的；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（三）将个人收藏的重要文物捐献给国家或者为文物保护事业作出捐赠的；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（四）发现文物及时上报或者上交，使文物得到保护的；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（五）在考古发掘工作中作出重大贡献的；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（六）在文物保护科学技术方面有重要发明创造或者其他重要贡献的；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（七）在文物面临破坏危险时，抢救文物有功的；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（八）长期从事文物工作，作出显著成绩的。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第二章　不可移动文物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第十三条　国务院文物行政部门在省级、市、县级文物保护单位中，选择具有重大历史、艺术、科学价值的确定为全国重点文物保护单位，或者直接确定为全国重点文物保护单位，报国务院核定公布。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省级文物保护单位，由省、自治区、直辖市人民政府核定公布，并报国务院备案。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市级和县级文物保护单位，分别由设区的市、自治州和县级人民政府核定公布，并报省、自治区、直辖市人民政府备案。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尚未核定公布为文物保护单位的不可移动文物，由县级人民政府文物行政部门予以登记并公布。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第十四条　保存文物特别丰富并且具有重大历史价值或者革命纪念意义的城市，由国务院核定公布为历史文化名城。</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保存文物特别丰富并且具有重大历史价值或者革命纪念意义的城镇、街道、村庄，由省、自治区、直辖市人民政府核定公布为历史文化街区、村镇，并报国务院备案。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历史文化名城和历史文化街区、村镇所在地的县级以上地方人民政府应当组织编制专门的历史文化名城和历史文化街区、村镇保护规划，并纳入城市总体规划。</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历史文化名城和历史文化街区、村镇的保护办法，由国务院制定。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第十五条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县级以上地方人民政府文物行政部门应当根据不同文物的保护需要，制定文物保护单位和未核定为文物保护单位的不可移动文物的具体保护措施，并公告施行。</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第十六条　各级人民政府制定城乡建设规划，应当根据文物保护的需要，事先由城乡建设规划部门会同文物行政部门商定对本行政区域内各级文物保护单位的保护措施，并纳入规划。</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第十八条　根据保护文物的实际需要，经省、自治区、直辖市人民政府批准，可以在文物保护单位的周围划出一定的建设控制地带，并予以公布。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在文物保护单位的建设控制地带内进行建设工程，不得破坏文物保护单位的历史风貌；工程设计方案应当根据文物保护单位的级别，经相应的文物行政部门同意后，报城乡建设规划部门批准。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第十九条　在文物保护单位的保护范围和建设控制地带内，不得建设污染文物保护单位及其环境的设施，不得进行可能影响文物保护单位安全及其环境的活动。对已有的污染文物保护单位及其环境的设施，应当限期治理。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第二十条　建设工程选址，应当尽可能避开不可移动文物；因特殊情况不能避开的，对文物保护单位应当尽可能实施原址保护。</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实施原址保护的，建设单位应当事先确定保护措施，根据文物保护单位的级别报相应的文物行政部门批准；未经批准的，不得开工建设。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依照前款规定拆除的国有不可移动文物中具有收藏价值的壁画、雕塑、建筑构件等，由文物行政部门指定的文物收藏单位收藏。</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本条规定的原址保护、迁移、拆除所需费用，由建设单位列入建设工程预算。</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对文物保护单位进行修缮，应当根据文物保护单位的级别报相应的文物行政部门批准；对未核定为文物保护单位的不可移动文物进行修缮，应当报登记的县级人民政府文物行政部门批准。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文物保护单位的修缮、迁移、重建，由取得文物保护工程资质证书的单位承担。</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对不可移动文物进行修缮、保养、迁移，必须遵守不改变文物原状的原则。</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第二十二条　不可移动文物已经全部毁坏的，应当实施遗址保护，不得在原址重建。但是，因特殊情况需要在原址重建的，由省、自治区、直辖市人民政府文物行政部门报省、自治区、直辖市人民政府批准；全国重点文物保护单位需要在原址重建的，由省、自治区、直辖市人民政府报国务院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第二十四条　国有不可移动文物不得转让、抵押。建立博物馆、保管所或者辟为参观游览场所的国有文物保护单位，不得作为企业资产经营。</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第二十五条　非国有不可移动文物不得转让、抵押给外国人。</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非国有不可移动文物转让、抵押或者改变用途的，应当根据其级别报相应的文物行政部门备案。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第二十六条　使用不可移动文物，必须遵守不改变文物原状的原则，负责保护建筑物及其附属文物的安全，不得损毁、改建、添建或者拆除不可移动文物。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对危害文物保护单位安全、破坏文物保护单位历史风貌的建筑物、构筑物，当地人民政府应当及时调查处理，必要时，对该建筑物、构筑物予以拆迁。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第三章　考古发掘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第二十七条　一切考古发掘工作，必须履行报批手续；从事考古发掘的单位，应当经国务院文物行政部门批准。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地下埋藏的文物，任何单位或者个人都不得私自发掘。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第二十八条　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第二十九条　进行大型基本建设工程，建设单位应当事先报请省、自治区、直辖市人民政府文物行政部门组织从事考古发掘的单位在工程范围内有可能埋藏文物的地方进行考古调查、勘探。</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考古调查、勘探中发现文物的，由省、自治区、直辖市人民政府文物行政部门根据文物保护的要求会同建设单位共同商定保护措施；遇有重要发现的，由省、自治区、直辖市人民政府文物行政部门及时报国务院文物行政部门处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第三十条　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确因建设工期紧迫或者有自然破坏危险，对古文化遗址、古墓葬急需进行抢救发掘的，由省、自治区、直辖市人民政府文物行政部门组织发掘，并同时补办审批手续。</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第三十一条　凡因进行基本建设和生产建设需要的考古调查、勘探、发掘，所需费用由建设单位列入建设工程预算。</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第三十二条　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依照前款规定发现的文物属于国家所有，任何单位或者个人不得哄抢、私分、藏匿。</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第三十三条　非经国务院文物行政部门报国务院特别许可，任何外国人或者外国团体不得在中华人民共和国境内进行考古调查、勘探、发掘。</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第三十四条　考古调查、勘探、发掘的结果，应当报告国务院文物行政部门和省、自治区、直辖市人民政府文物行政部门。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批准，从事考古发掘的单位可以保留少量出土文物作为科研标本。</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考古发掘的文物，任何单位或者个人不得侵占。</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第三十五条　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第四章　馆藏文物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第三十六条　博物馆、图书馆和其他文物收藏单位对收藏的文物，必须区分文物等级，设置藏品档案，建立严格的管理制度，并报主管的文物行政部门备案。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县级以上地方人民政府文物行政部门应当分别建立本行政区域内的馆藏文物档案；国务院文物行政部门应当建立国家一级文物藏品档案和其主管的国有文物收藏单位馆藏文物档案。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第三十七条　文物收藏单位可以通过下列方式取得文物：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（一）购买；</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（二）接受捐赠；</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（三）依法交换；</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（四）法律、行政法规规定的其他方式。</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国有文物收藏单位还可以通过文物行政部门指定保管或者调拨方式取得文物。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第三十八条　文物收藏单位应当根据馆藏文物的保护需要，按照国家有关规定建立、健全管理制度，并报主管的文物行政部门备案。未经批准，任何单位或者个人不得调取馆藏文物。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文物收藏单位的法定代表人对馆藏文物的安全负责。国有文物收藏单位的法定代表人离任时，应当按照馆藏文物档案办理馆藏文物移交手续。</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第三十九条　国务院文物行政部门可以调拨全国的国有馆藏文物。省、自治区、直辖市人民政府文物行政部门可以调拨本行政区域内其主管的国有文物收藏单位馆藏文物；调拨国有馆藏一级文物，应当报国务院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国有文物收藏单位可以申请调拨国有馆藏文物。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第四十条　文物收藏单位应当充分发挥馆藏文物的作用，通过举办展览、科学研究等活动，加强对中华民族优秀的历史文化和革命传统的宣传教育。</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国有文物收藏单位之间因举办展览、科学研究等需借用馆藏文物的，应当报主管的文物行政部门备案；借用馆藏一级文物的，应当同时报国务院文物行政部门备案。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非国有文物收藏单位和其他单位举办展览需借用国有馆藏文物的，应当报主管的文物行政部门批准；借用国有馆藏一级文物，应当经国务院文物行政部门批准。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文物收藏单位之间借用文物的最长期限不得超过三年。</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第四十一条　已经建立馆藏文物档案的国有文物收藏单位，经省、自治区、直辖市人民政府文物行政部门批准，并报国务院文物行政部门备案，其馆藏文物可以在国有文物收藏单位之间交换。</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第四十二条　未建立馆藏文物档案的国有文物收藏单位，不得依照本法第四十条、第四十一条的规定处置其馆藏文物。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第四十三条　依法调拨、交换、借用国有馆藏文物，取得文物的文物收藏单位可以对提供文物的文物收藏单位给予合理补偿，具体管理办法由国务院文物行政部门制定。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国有文物收藏单位调拨、交换、出借文物所得的补偿费用，必须用于改善文物的收藏条件和收集新的文物，不得挪作他用；任何单位或者个人不得侵占。</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调拨、交换、借用的文物必须严格保管，不得丢失、损毁。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第四十四条　禁止国有文物收藏单位将馆藏文物赠与、出租或者出售给其他单位、个人。</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第四十五条　国有文物收藏单位不再收藏的文物的处置办法，由国务院另行制定。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第四十六条　修复馆藏文物，不得改变馆藏文物的原状；复制、拍摄、拓印馆藏文物，不得对馆藏文物造成损害。具体管理办法由国务院制定。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不可移动文物的单体文物的修复、复制、拍摄、拓印，适用前款规定。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第四十七条　博物馆、图书馆和其他收藏文物的单位应当按照国家有关规定配备防火、防盗、防自然损坏的设施，确保馆藏文物的安全。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第四十八条　馆藏一级文物损毁的，应当报国务院文物行政部门核查处理。其他馆藏文物损毁的，应当报省、自治区、直辖市人民政府文物行政部门核查处理；省、自治区、直辖市人民政府文物行政部门应当将核查处理结果报国务院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馆藏文物被盗、被抢或者丢失的，文物收藏单位应当立即向公安机关报案，并同时向主管的文物行政部门报告。</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第四十九条　文物行政部门和国有文物收藏单位的工作人员不得借用国有文物，不得非法侵占国有文物。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第五章　民间收藏文物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第五十条　文物收藏单位以外的公民、法人和其他组织可以收藏通过下列方式取得的文物：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（一）依法继承或者接受赠与；</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（二）从文物商店购买；</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（三）从经营文物拍卖的拍卖企业购买；</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（四）公民个人合法所有的文物相互交换或者依法转让；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（五）国家规定的其他合法方式。</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文物收藏单位以外的公民、法人和其他组织收藏的前款文物可以依法流通。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第五十一条　公民、法人和其他组织不得买卖下列文物：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（一）国有文物，但是国家允许的除外；</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（二）非国有馆藏珍贵文物；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（三）国有不可移动文物中的壁画、雕塑、建筑构件等，但是依法拆除的国有不可移动文物中的壁画、雕塑、建筑构件等不属于本法第二十条第四款规定的应由文物收藏单位收藏的除外；</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（四）来源不符合本法第五十条规定的文物。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第五十二条　国家鼓励文物收藏单位以外的公民、法人和其他组织将其收藏的文物捐赠给国有文物收藏单位或者出借给文物收藏单位展览和研究。</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国有文物收藏单位应当尊重并按照捐赠人的意愿，对捐赠的文物妥善收藏、保管和展示。</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国家禁止出境的文物，不得转让、出租、质押给外国人。</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第五十三条　文物商店应当由省、自治区、直辖市人民政府文物行政部门批准设立，依法进行管理。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文物商店不得从事文物拍卖经营活动，不得设立经营文物拍卖的拍卖企业。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第五十四条　依法设立的拍卖企业经营文物拍卖的，应当取得省、自治区、直辖市人民政府文物行政部门颁发的文物拍卖许可证。</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经营文物拍卖的拍卖企业不得从事文物购销经营活动，不得设立文物商店。</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第五十五条　文物行政部门的工作人员不得举办或者参与举办文物商店或者经营文物拍卖的拍卖企业。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文物收藏单位不得举办或者参与举办文物商店或者经营文物拍卖的拍卖企业。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禁止设立中外合资、中外合作和外商独资的文物商店或者经营文物拍卖的拍卖企业。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除经批准的文物商店、经营文物拍卖的拍卖企业外，其他单位或者个人不得从事文物的商业经营活动。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第五十六条　文物商店不得销售、拍卖企业不得拍卖本法第五十一条规定的文物。</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拍卖企业拍卖的文物，在拍卖前应当经省、自治区、直辖市人民政府文物行政部门审核，并报国务院文物行政部门备案。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第五十七条　省、自治区、直辖市人民政府文物行政部门应当建立文物购销、拍卖信息与信用管理系统。文物商店购买、销售文物，拍卖企业拍卖文物，应当按照国家有关规定作出记录，并于销售、拍卖文物后三十日内报省、自治区、直辖市人民政府文物行政部门备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拍卖文物时，委托人、买受人要求对其身份保密的，文物行政部门应当为其保密；但是，法律、行政法规另有规定的除外。</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第五十八条　文物行政部门在审核拟拍卖的文物时，可以指定国有文物收藏单位优先购买其中的珍贵文物。购买价格由文物收藏单位的代表与文物的委托人协商确定。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第五十九条　银行、冶炼厂、造纸厂以及废旧物资回收单位，应当与当地文物行政部门共同负责拣选掺杂在金银器和废旧物资中的文物。拣选文物除供银行研究所必需的历史货币可以由人民银行留用外，应当移交当地文物行政部门。移交拣选文物，应当给予合理补偿。</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第六章　文物出境进境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第六十条　国有文物、非国有文物中的珍贵文物和国家规定禁止出境的其他文物，不得出境；但是依照本法规定出境展览或者因特殊需要经国务院批准出境的除外。</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第六十一条　文物出境，应当经国务院文物行政部门指定的文物进出境审核机构审核。经审核允许出境的文物，由国务院文物行政部门发给文物出境许可证，从国务院文物行政部门指定的口岸出境。</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任何单位或者个人运送、邮寄、携带文物出境，应当向海关申报；海关凭文物出境许可证放行。</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第六十二条　文物出境展览，应当报国务院文物行政部门批准；一级文物超过国务院规定数量的，应当报国务院批准。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一级文物中的孤品和易损品，禁止出境展览。</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出境展览的文物出境，由文物进出境审核机构审核、登记。海关凭国务院文物行政部门或者国务院的批准文件放行。出境展览的文物复进境，由原文物进出境审核机构审核查验。</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第六十三条　文物临时进境，应当向海关申报，并报文物进出境审核机构审核、登记。</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临时进境的文物复出境，必须经原审核、登记的文物进出境审核机构审核查验；经审核查验无误的，由国务院文物行政部门发给文物出境许可证，海关凭文物出境许可证放行。</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第七章　法律责任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第六十四条　违反本法规定，有下列行为之一，构成犯罪的，依法追究刑事责任：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（一）盗掘古文化遗址、古墓葬的；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（二）故意或者过失损毁国家保护的珍贵文物的；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（三）擅自将国有馆藏文物出售或者私自送给非国有单位或者个人的；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（四）将国家禁止出境的珍贵文物私自出售或者送给外国人的；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（五）以牟利为目的倒卖国家禁止经营的文物的；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（六）走私文物的；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（七）盗窃、哄抢、私分或者非法侵占国有文物的；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（八）应当追究刑事责任的其他妨害文物管理行为。</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第六十五条　违反本法规定，造成文物灭失、损毁的，依法承担民事责任。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违反本法规定，构成违反治安管理行为的，由公安机关依法给予治安管理处罚。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违反本法规定，构成走私行为，尚不构成犯罪的，由海关依照有关法律、行政法规的规定给予处罚。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第六十六条　有下列行为之一，尚不构成犯罪的，由县级以上人民政府文物主管部门责令改正，造成严重后果的，处五万元以上五十万元以下的罚款；情节严重的，由原发证机关吊销资质证书：</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（一）擅自在文物保护单位的保护范围内进行建设工程或者爆破、钻探、挖掘等作业的；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（二）在文物保护单位的建设控制地带内进行建设工程，其工程设计方案未经文物行政部门同意、报城乡建设规划部门批准，对文物保护单位的历史风貌造成破坏的；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（三）擅自迁移、拆除不可移动文物的；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（四）擅自修缮不可移动文物，明显改变文物原状的；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（五）擅自在原址重建已全部毁坏的不可移动文物，造成文物破坏的；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（六）施工单位未取得文物保护工程资质证书，擅自从事文物修缮、迁移、重建的。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刻划、涂污或者损坏文物尚不严重的，或者损毁依照本法第十五条第一款规定设立的文物保护单位标志的，由公安机关或者文物所在单位给予警告，可以并处罚款。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第六十七条　在文物保护单位的保护范围内或者建设控制地带内建设污染文物保护单位及其环境的设施的，或者对已有的污染文物保护单位及其环境的设施未在规定的期限内完成治理的，由环境保护行政部门依照有关法律、法规的规定给予处罚。</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（一）转让或者抵押国有不可移动文物，或者将国有不可移动文物作为企业资产经营的；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（二）将非国有不可移动文物转让或者抵押给外国人的；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（三）擅自改变国有文物保护单位的用途的。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第六十九条　历史文化名城的布局、环境、历史风貌等遭到严重破坏的，由国务院撤销其历史文化名城称号；历史文化城镇、街道、村庄的布局、环境、历史风貌等遭到严重破坏的，由省、自治区、直辖市人民政府撤销其历史文化街区、村镇称号；对负有责任的主管人员和其他直接责任人员依法给予行政处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第七十条　有下列行为之一，尚不构成犯罪的，由县级以上人民政府文物主管部门责令改正，可以并处二万元以下的罚款，有违法所得的，没收违法所得：</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（一）文物收藏单位未按照国家有关规定配备防火、防盗、防自然损坏的设施的；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（二）国有文物收藏单位法定代表人离任时未按照馆藏文物档案移交馆藏文物，或者所移交的馆藏文物与馆藏文物档案不符的；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（三）将国有馆藏文物赠与、出租或者出售给其他单位、个人的；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（四）违反本法第四十条、第四十一条、第四十五条规定处置国有馆藏文物的；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（五）违反本法第四十三条规定挪用或者侵占依法调拨、交换、出借文物所得补偿费用的。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（一）文物商店从事文物拍卖经营活动的；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（二）经营文物拍卖的拍卖企业从事文物购销经营活动的；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（三）拍卖企业拍卖的文物，未经审核的；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（四）文物收藏单位从事文物的商业经营活动的。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第七十四条　有下列行为之一，尚不构成犯罪的，由县级以上人民政府文物主管部门会同公安机关追缴文物；情节严重的，处五千元以上五万元以下的罚款：</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（一）发现文物隐匿不报或者拒不上交的；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（二）未按照规定移交拣选文物的。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第七十五条　有下列行为之一的，由县级以上人民政府文物主管部门责令改正：</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（一）改变国有未核定为文物保护单位的不可移动文物的用途，未依照本法规定报告的；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（二）转让、抵押非国有不可移动文物或者改变其用途，未依照本法规定备案的；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（三）国有不可移动文物的使用人拒不依法履行修缮义务的；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（四）考古发掘单位未经批准擅自进行考古发掘，或者不如实报告考古发掘结果的；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（五）文物收藏单位未按照国家有关规定建立馆藏文物档案、管理制度，或者未将馆藏文物档案、管理制度备案的；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（六）违反本法第三十八条规定，未经批准擅自调取馆藏文物的；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（七）馆藏文物损毁未报文物行政部门核查处理，或者馆藏文物被盗、被抢或者丢失，文物收藏单位未及时向公安机关或者文物行政部门报告的；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（八）文物商店销售文物或者拍卖企业拍卖文物，未按照国家有关规定作出记录或者未将所作记录报文物行政部门备案的。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第七十六条　文物行政部门、文物收藏单位、文物商店、经营文物拍卖的拍卖企业的工作人员，有下列行为之一的，依法给予行政处分，情节严重的，依法开除公职或者吊销其从业资格；构成犯罪的，依法追究刑事责任：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（一）文物行政部门的工作人员违反本法规定，滥用审批权限、不履行职责或者发现违法行为不予查处，造成严重后果的；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（二）文物行政部门和国有文物收藏单位的工作人员借用或者非法侵占国有文物的；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（三）文物行政部门的工作人员举办或者参与举办文物商店或者经营文物拍卖的拍卖企业的；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（四）因不负责任造成文物保护单位、珍贵文物损毁或者流失的；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（五）贪污、挪用文物保护经费的。</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前款被开除公职或者被吊销从业资格的人员，自被开除公职或者被吊销从业资格之日起十年内不得担任文物管理人员或者从事文物经营活动。</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第七十七条　有本法第六十六条、第六十八条、第七十条、第七十一条、第七十四条、第七十五条规定所列行为之一的，负有责任的主管人员和其他直接责任人员是国家工作人员的，依法给予行政处分。</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第七十八条　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第七十九条　人民法院、人民检察院、公安机关、海关和工商行政管理部门依法没收的文物应当登记造册，妥善保管，结案后无偿移交文物行政部门，由文物行政部门指定的国有文物收藏单位收藏。</w:t>
      </w:r>
    </w:p>
    <w:p>
      <w:pPr>
        <w:pStyle w:val="3"/>
        <w:keepNext w:val="0"/>
        <w:keepLines w:val="0"/>
        <w:widowControl/>
        <w:suppressLineNumbers w:val="0"/>
        <w:spacing w:before="332" w:beforeAutospacing="0" w:after="332" w:afterAutospacing="0" w:line="360" w:lineRule="atLeast"/>
        <w:ind w:left="0" w:right="0"/>
        <w:jc w:val="center"/>
      </w:pPr>
      <w:r>
        <w:rPr>
          <w:rFonts w:hint="eastAsia" w:ascii="宋体" w:hAnsi="宋体" w:eastAsia="宋体" w:cs="宋体"/>
          <w:color w:val="333333"/>
          <w:sz w:val="21"/>
          <w:szCs w:val="21"/>
          <w:shd w:val="clear" w:fill="FFFFFF"/>
        </w:rPr>
        <w:t> </w:t>
      </w:r>
    </w:p>
    <w:p>
      <w:pPr>
        <w:pStyle w:val="3"/>
        <w:keepNext w:val="0"/>
        <w:keepLines w:val="0"/>
        <w:widowControl/>
        <w:suppressLineNumbers w:val="0"/>
        <w:spacing w:before="332" w:beforeAutospacing="0" w:after="332" w:afterAutospacing="0" w:line="360" w:lineRule="atLeast"/>
        <w:ind w:left="0" w:right="0"/>
        <w:jc w:val="center"/>
      </w:pPr>
      <w:r>
        <w:rPr>
          <w:rFonts w:hint="eastAsia" w:ascii="黑体" w:hAnsi="宋体" w:eastAsia="黑体" w:cs="黑体"/>
          <w:color w:val="333333"/>
          <w:sz w:val="27"/>
          <w:szCs w:val="27"/>
          <w:shd w:val="clear" w:fill="FFFFFF"/>
        </w:rPr>
        <w:t>第八章　附　　则</w:t>
      </w:r>
    </w:p>
    <w:p>
      <w:pPr>
        <w:pStyle w:val="3"/>
        <w:keepNext w:val="0"/>
        <w:keepLines w:val="0"/>
        <w:widowControl/>
        <w:suppressLineNumbers w:val="0"/>
        <w:spacing w:before="332" w:beforeAutospacing="0" w:after="332" w:afterAutospacing="0" w:line="360" w:lineRule="atLeast"/>
        <w:ind w:left="0" w:right="0"/>
        <w:jc w:val="left"/>
      </w:pPr>
      <w:r>
        <w:rPr>
          <w:rFonts w:hint="eastAsia" w:ascii="宋体" w:hAnsi="宋体" w:eastAsia="宋体" w:cs="宋体"/>
          <w:color w:val="333333"/>
          <w:sz w:val="21"/>
          <w:szCs w:val="21"/>
          <w:shd w:val="clear" w:fill="FFFFFF"/>
        </w:rPr>
        <w:t>第八十条　本法自公布之日起施行。</w:t>
      </w:r>
    </w:p>
    <w:p>
      <w:pPr>
        <w:pStyle w:val="3"/>
        <w:keepNext w:val="0"/>
        <w:keepLines w:val="0"/>
        <w:widowControl/>
        <w:suppressLineNumbers w:val="0"/>
        <w:spacing w:line="405" w:lineRule="atLeast"/>
        <w:ind w:right="450"/>
        <w:jc w:val="both"/>
        <w:rPr>
          <w:rFonts w:hint="eastAsia" w:ascii="微软雅黑" w:hAnsi="微软雅黑" w:eastAsia="微软雅黑" w:cs="微软雅黑"/>
          <w:color w:val="DC0002"/>
          <w:sz w:val="33"/>
          <w:szCs w:val="33"/>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33F7E"/>
    <w:rsid w:val="0BC33F7E"/>
    <w:rsid w:val="437473B6"/>
    <w:rsid w:val="6F3F36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Verdana" w:hAnsi="Verdana" w:eastAsia="宋体" w:cs="Verdana"/>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宋体" w:hAnsi="宋体" w:eastAsia="宋体" w:cs="宋体"/>
      <w:color w:val="4C4C4C"/>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styleId="10">
    <w:name w:val="HTML Code"/>
    <w:basedOn w:val="5"/>
    <w:uiPriority w:val="0"/>
    <w:rPr>
      <w:rFonts w:ascii="Courier New" w:hAnsi="Courier New"/>
      <w:sz w:val="20"/>
    </w:rPr>
  </w:style>
  <w:style w:type="character" w:customStyle="1" w:styleId="11">
    <w:name w:val="red3"/>
    <w:basedOn w:val="5"/>
    <w:uiPriority w:val="0"/>
    <w:rPr>
      <w:color w:val="BB4400"/>
    </w:rPr>
  </w:style>
  <w:style w:type="character" w:customStyle="1" w:styleId="12">
    <w:name w:val="red4"/>
    <w:basedOn w:val="5"/>
    <w:uiPriority w:val="0"/>
    <w:rPr>
      <w:color w:val="BB4400"/>
    </w:rPr>
  </w:style>
  <w:style w:type="character" w:customStyle="1" w:styleId="13">
    <w:name w:val="up"/>
    <w:basedOn w:val="5"/>
    <w:uiPriority w:val="0"/>
    <w:rPr>
      <w:color w:val="4D9645"/>
    </w:rPr>
  </w:style>
  <w:style w:type="character" w:customStyle="1" w:styleId="14">
    <w:name w:val="down"/>
    <w:basedOn w:val="5"/>
    <w:uiPriority w:val="0"/>
    <w:rPr>
      <w:color w:val="853E18"/>
    </w:rPr>
  </w:style>
  <w:style w:type="character" w:customStyle="1" w:styleId="15">
    <w:name w:val="atstart"/>
    <w:basedOn w:val="5"/>
    <w:uiPriority w:val="0"/>
  </w:style>
  <w:style w:type="character" w:customStyle="1" w:styleId="16">
    <w:name w:val="bsharetext"/>
    <w:basedOn w:val="5"/>
    <w:uiPriority w:val="0"/>
  </w:style>
  <w:style w:type="character" w:customStyle="1" w:styleId="17">
    <w:name w:val="hover"/>
    <w:basedOn w:val="5"/>
    <w:uiPriority w:val="0"/>
    <w:rPr>
      <w:color w:val="FFFFFF"/>
    </w:rPr>
  </w:style>
  <w:style w:type="character" w:customStyle="1" w:styleId="18">
    <w:name w:val="page_next"/>
    <w:basedOn w:val="5"/>
    <w:uiPriority w:val="0"/>
  </w:style>
  <w:style w:type="character" w:customStyle="1" w:styleId="19">
    <w:name w:val="on"/>
    <w:basedOn w:val="5"/>
    <w:uiPriority w:val="0"/>
  </w:style>
  <w:style w:type="character" w:customStyle="1" w:styleId="20">
    <w:name w:val="active3"/>
    <w:basedOn w:val="5"/>
    <w:uiPriority w:val="0"/>
    <w:rPr>
      <w:color w:val="FFFFFF"/>
    </w:rPr>
  </w:style>
  <w:style w:type="character" w:customStyle="1" w:styleId="21">
    <w:name w:val="page_prev"/>
    <w:basedOn w:val="5"/>
    <w:uiPriority w:val="0"/>
  </w:style>
  <w:style w:type="character" w:customStyle="1" w:styleId="22">
    <w:name w:val="bds_more"/>
    <w:basedOn w:val="5"/>
    <w:uiPriority w:val="0"/>
    <w:rPr>
      <w:rFonts w:hint="eastAsia" w:ascii="宋体" w:hAnsi="宋体" w:eastAsia="宋体" w:cs="宋体"/>
    </w:rPr>
  </w:style>
  <w:style w:type="character" w:customStyle="1" w:styleId="23">
    <w:name w:val="bds_more1"/>
    <w:basedOn w:val="5"/>
    <w:uiPriority w:val="0"/>
  </w:style>
  <w:style w:type="character" w:customStyle="1" w:styleId="24">
    <w:name w:val="bds_more2"/>
    <w:basedOn w:val="5"/>
    <w:uiPriority w:val="0"/>
  </w:style>
  <w:style w:type="character" w:customStyle="1" w:styleId="25">
    <w:name w:val="bds_nopic"/>
    <w:basedOn w:val="5"/>
    <w:uiPriority w:val="0"/>
  </w:style>
  <w:style w:type="character" w:customStyle="1" w:styleId="26">
    <w:name w:val="bds_nopic1"/>
    <w:basedOn w:val="5"/>
    <w:uiPriority w:val="0"/>
  </w:style>
  <w:style w:type="character" w:customStyle="1" w:styleId="27">
    <w:name w:val="bds_nopic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2019-09-23T12:40:00Z</dcterms:created>
  <dc:creator>嘉鱼</dc:creator>
  <cp:lastModifiedBy>张琪</cp:lastModifiedBy>
  <dcterms:modified xsi:type="dcterms:W3CDTF">2020-07-23T02:20:30Z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