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center"/>
        <w:rPr>
          <w:rStyle w:val="25"/>
          <w:rFonts w:ascii="宋体" w:hAnsi="宋体"/>
          <w:b/>
          <w:color w:val="auto"/>
          <w:sz w:val="44"/>
          <w:szCs w:val="44"/>
        </w:rPr>
      </w:pPr>
    </w:p>
    <w:p>
      <w:pPr>
        <w:pStyle w:val="2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color w:val="auto"/>
          <w:sz w:val="44"/>
          <w:szCs w:val="44"/>
        </w:rPr>
      </w:pPr>
      <w:r>
        <w:rPr>
          <w:rStyle w:val="25"/>
          <w:rFonts w:hint="eastAsia" w:ascii="宋体" w:hAnsi="宋体"/>
          <w:b/>
          <w:color w:val="auto"/>
          <w:sz w:val="44"/>
          <w:szCs w:val="44"/>
        </w:rPr>
        <w:t>宁波市多测合一告知承诺制操作</w:t>
      </w:r>
      <w:r>
        <w:rPr>
          <w:rFonts w:hint="eastAsia" w:ascii="宋体" w:hAnsi="宋体"/>
          <w:b/>
          <w:color w:val="auto"/>
          <w:sz w:val="44"/>
          <w:szCs w:val="44"/>
        </w:rPr>
        <w:t>办法</w:t>
      </w:r>
    </w:p>
    <w:p>
      <w:pPr>
        <w:pStyle w:val="2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b/>
          <w:color w:val="auto"/>
          <w:sz w:val="44"/>
          <w:szCs w:val="44"/>
          <w:lang w:eastAsia="zh-CN"/>
        </w:rPr>
      </w:pPr>
      <w:r>
        <w:rPr>
          <w:rFonts w:hint="eastAsia" w:ascii="宋体" w:hAnsi="宋体"/>
          <w:b/>
          <w:color w:val="auto"/>
          <w:sz w:val="44"/>
          <w:szCs w:val="44"/>
          <w:lang w:eastAsia="zh-CN"/>
        </w:rPr>
        <w:t>（征求意见稿）</w:t>
      </w:r>
    </w:p>
    <w:p>
      <w:pPr>
        <w:pStyle w:val="24"/>
        <w:ind w:firstLine="640" w:firstLineChars="200"/>
        <w:jc w:val="center"/>
        <w:rPr>
          <w:rFonts w:ascii="仿宋_GB2312" w:eastAsia="仿宋_GB2312"/>
          <w:color w:val="auto"/>
          <w:sz w:val="32"/>
          <w:szCs w:val="32"/>
        </w:rPr>
      </w:pP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第一条【目的与依据】</w:t>
      </w:r>
      <w:r>
        <w:rPr>
          <w:rFonts w:hint="eastAsia" w:ascii="仿宋_GB2312" w:eastAsia="仿宋_GB2312"/>
          <w:color w:val="auto"/>
          <w:sz w:val="32"/>
          <w:szCs w:val="32"/>
        </w:rPr>
        <w:t>为进一步贯彻落实多测合一改革要求，优化行政审批程序，提高行政审批效率，发挥诚信建设在服务经济社会发展中的基础性作用，</w:t>
      </w:r>
      <w:r>
        <w:rPr>
          <w:rFonts w:hint="eastAsia" w:ascii="仿宋_GB2312" w:hAnsi="仿宋_GB2312" w:eastAsia="仿宋_GB2312" w:cs="仿宋_GB2312"/>
          <w:color w:val="auto"/>
          <w:sz w:val="32"/>
          <w:szCs w:val="40"/>
        </w:rPr>
        <w:t>根据《宁波市工程建设项目审批告知承诺制管理暂行办法》《宁波市工程建设项目多测合一实施办法》（以下简称“实施办法”）等法规及改革文件精神，</w:t>
      </w:r>
      <w:r>
        <w:rPr>
          <w:rFonts w:hint="eastAsia" w:ascii="仿宋_GB2312" w:eastAsia="仿宋_GB2312"/>
          <w:color w:val="auto"/>
          <w:sz w:val="32"/>
          <w:szCs w:val="32"/>
        </w:rPr>
        <w:t>在多测合一领域实行告知承诺制，现结合实际，制定本办法。</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第二条【定义】</w:t>
      </w:r>
      <w:r>
        <w:rPr>
          <w:rFonts w:hint="eastAsia" w:ascii="仿宋_GB2312" w:eastAsia="仿宋_GB2312"/>
          <w:color w:val="auto"/>
          <w:sz w:val="32"/>
          <w:szCs w:val="32"/>
        </w:rPr>
        <w:t>本办法所称的告知承诺制，是指建设单位和测绘中介服务机构在委托与承接建设工程多测合一项目时，自然资源规划主管部门事先以《多测合一告知书》（附件1）书面形式告知其多测合一相关政策制度、标准规范、成果格式范本和质量责任，建设单位和测绘中介服务机构以书面形式签订《告知承诺书》（附件2、3），承诺其依法开展多测合一，提交完整规范成果，履行相应质量责任，承担相应的法律责任及后果，各审批部门可直接采信其多测合一成果进行行政审批。</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第三条【适用范围】</w:t>
      </w:r>
      <w:r>
        <w:rPr>
          <w:rFonts w:hint="eastAsia" w:ascii="仿宋_GB2312" w:eastAsia="仿宋_GB2312"/>
          <w:color w:val="auto"/>
          <w:sz w:val="32"/>
          <w:szCs w:val="32"/>
        </w:rPr>
        <w:t>本办法适用于宁波市范围内的多测合一项目。直接涉及公共安全、社会稳定、生态环境保护等特殊建设项目除外。</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第四条【职责分工】</w:t>
      </w:r>
      <w:r>
        <w:rPr>
          <w:rFonts w:hint="eastAsia" w:ascii="仿宋_GB2312" w:eastAsia="仿宋_GB2312"/>
          <w:color w:val="auto"/>
          <w:sz w:val="32"/>
          <w:szCs w:val="32"/>
        </w:rPr>
        <w:t>市自然资源规划局负责多测合一告知承诺制的统一管理工作。各区（县、市）自然资源规划局负责辖区内多测合一告知承诺制的具体实施。</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第五条【遵守原则】</w:t>
      </w:r>
      <w:r>
        <w:rPr>
          <w:rFonts w:hint="eastAsia" w:ascii="仿宋_GB2312" w:eastAsia="仿宋_GB2312"/>
          <w:color w:val="auto"/>
          <w:sz w:val="32"/>
          <w:szCs w:val="32"/>
        </w:rPr>
        <w:t>多测合一告知承诺制应当遵循守法、诚信、公正、及时的原则。</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第六条【告知过程】</w:t>
      </w:r>
      <w:r>
        <w:rPr>
          <w:rFonts w:hint="eastAsia" w:ascii="仿宋_GB2312" w:eastAsia="仿宋_GB2312"/>
          <w:color w:val="auto"/>
          <w:sz w:val="32"/>
          <w:szCs w:val="32"/>
        </w:rPr>
        <w:t>市自然资源规划局统一在宁波市自然资源规划局官网、宁波市多测合一应用场景以及宁波中介超市网发布《多测合一告知书》《告知承诺书》，建设单位和测绘中介服务机构在签订多测合一项目合同时，自行下载《多测合一告知书》，分别签订《告知承诺书》，经建设单位、测绘中介服务机构的法定代表人或授权代理人签字盖章后生效。</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第七条【告知内容】</w:t>
      </w:r>
      <w:r>
        <w:rPr>
          <w:rFonts w:hint="eastAsia" w:ascii="仿宋_GB2312" w:eastAsia="仿宋_GB2312"/>
          <w:color w:val="auto"/>
          <w:sz w:val="32"/>
          <w:szCs w:val="32"/>
        </w:rPr>
        <w:t>多测合一应告知下列承诺内容：</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（一）多测合一的适用范围；</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（二）多测合一所依据的主要法律、法规、规章及规范性文件；</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（三）多测合一应当执行的标准规范和技术要求；</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（四）多测合一应当执行的委托要求；</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（五）多测合一应当执行的项目信息报送及成果提交要求；</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bidi="en-US"/>
        </w:rPr>
        <w:t>（六）</w:t>
      </w:r>
      <w:r>
        <w:rPr>
          <w:rFonts w:hint="eastAsia" w:ascii="仿宋_GB2312" w:eastAsia="仿宋_GB2312"/>
          <w:color w:val="auto"/>
          <w:sz w:val="32"/>
          <w:szCs w:val="32"/>
        </w:rPr>
        <w:t>建设单位和测绘中介服务机构对多测合一成果的质量责任；</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bidi="en-US"/>
        </w:rPr>
        <w:t>（</w:t>
      </w:r>
      <w:r>
        <w:rPr>
          <w:rFonts w:hint="eastAsia" w:ascii="仿宋_GB2312" w:eastAsia="仿宋_GB2312"/>
          <w:color w:val="auto"/>
          <w:sz w:val="32"/>
          <w:szCs w:val="32"/>
        </w:rPr>
        <w:t>七</w:t>
      </w:r>
      <w:r>
        <w:rPr>
          <w:rFonts w:hint="eastAsia" w:ascii="仿宋_GB2312" w:eastAsia="仿宋_GB2312"/>
          <w:color w:val="auto"/>
          <w:sz w:val="32"/>
          <w:szCs w:val="32"/>
          <w:lang w:bidi="en-US"/>
        </w:rPr>
        <w:t>）</w:t>
      </w:r>
      <w:r>
        <w:rPr>
          <w:rFonts w:hint="eastAsia" w:ascii="仿宋_GB2312" w:eastAsia="仿宋_GB2312"/>
          <w:color w:val="auto"/>
          <w:sz w:val="32"/>
          <w:szCs w:val="32"/>
        </w:rPr>
        <w:t>建设单位和测绘中介服务机构逾期未履行承诺、作出不实承诺和违反承诺的法律后果；</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（八）行政审批部门认为应当告知的其他内容。</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 xml:space="preserve">第八条【承诺内容】 </w:t>
      </w:r>
      <w:r>
        <w:rPr>
          <w:rFonts w:hint="eastAsia" w:ascii="仿宋_GB2312" w:eastAsia="仿宋_GB2312"/>
          <w:color w:val="auto"/>
          <w:sz w:val="32"/>
          <w:szCs w:val="32"/>
        </w:rPr>
        <w:t>建设单位以书面形式签订《告知承诺书》，承诺其依法依规开展多测合一工作，按《实施办法》要求进行项目委托，不干涉多测合一成果的合法性、真实性、准确性，切实履行多测合一项目信息报送、成果提交及成果质量验收责任，愿意承担违反承诺的法律责任及由此造成的损失。</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测绘中介服务机构以书面形式签订《告知承诺书》，承诺其依法依规开展多测合一工作，按《实施办法》要求承接项目，切实履行多测合一成果质量“两级检查”制度，对多测合一成果质量终身负责，按时完成多测合一项目，保证多测合一成果数据的合法性、真实性、准确性，能够满足相关技术规范以及告知书载明的标准和技术等要求，如违反承诺，本单位自愿接受自然资源规划等有关管理部门组织的差异化质量监督检查，并承担相应法律责任。</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第九条【承诺报送】</w:t>
      </w:r>
      <w:r>
        <w:rPr>
          <w:rFonts w:hint="eastAsia" w:ascii="仿宋_GB2312" w:eastAsia="仿宋_GB2312"/>
          <w:color w:val="auto"/>
          <w:sz w:val="32"/>
          <w:szCs w:val="32"/>
        </w:rPr>
        <w:t>《多测合一告知书》、《告知承诺书》《多测合一成果承诺表》应作为多测合一成果组成部分，纳入多测合一成果报告，由建设单位或其委托的测绘中介服务机构上传至多测合一应用场景。</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color w:val="auto"/>
          <w:sz w:val="32"/>
          <w:szCs w:val="32"/>
        </w:rPr>
        <w:t>第十条</w:t>
      </w:r>
      <w:r>
        <w:rPr>
          <w:rFonts w:hint="eastAsia" w:ascii="仿宋_GB2312" w:eastAsia="仿宋_GB2312"/>
          <w:b/>
          <w:bCs/>
          <w:color w:val="auto"/>
          <w:sz w:val="32"/>
          <w:szCs w:val="32"/>
        </w:rPr>
        <w:t>【现场核实】</w:t>
      </w:r>
      <w:r>
        <w:rPr>
          <w:rFonts w:hint="eastAsia" w:ascii="仿宋_GB2312" w:eastAsia="仿宋_GB2312"/>
          <w:color w:val="auto"/>
          <w:sz w:val="32"/>
          <w:szCs w:val="32"/>
        </w:rPr>
        <w:t>审批部门在受理建设工程审批事项申请后，依据多测合一成果及其承诺内容和其它提交材料，结合项目复杂程度，在审批时限内直接或进行必要的现场核实作出行政审批决定。</w:t>
      </w:r>
    </w:p>
    <w:p>
      <w:pPr>
        <w:pStyle w:val="24"/>
        <w:spacing w:line="560" w:lineRule="exact"/>
        <w:ind w:firstLine="642" w:firstLineChars="200"/>
        <w:rPr>
          <w:rFonts w:ascii="仿宋_GB2312" w:eastAsia="仿宋_GB2312"/>
          <w:color w:val="auto"/>
          <w:sz w:val="32"/>
          <w:szCs w:val="32"/>
          <w:highlight w:val="yellow"/>
        </w:rPr>
      </w:pPr>
      <w:r>
        <w:rPr>
          <w:rFonts w:hint="eastAsia" w:ascii="仿宋_GB2312" w:eastAsia="仿宋_GB2312"/>
          <w:b/>
          <w:bCs/>
          <w:color w:val="auto"/>
          <w:sz w:val="32"/>
          <w:szCs w:val="32"/>
        </w:rPr>
        <w:t>第十一条【监督检查】</w:t>
      </w:r>
      <w:r>
        <w:rPr>
          <w:rFonts w:hint="eastAsia" w:ascii="仿宋_GB2312" w:eastAsia="仿宋_GB2312"/>
          <w:color w:val="auto"/>
          <w:sz w:val="32"/>
          <w:szCs w:val="32"/>
        </w:rPr>
        <w:t>自然资源规划主管部门按照《宁波市多测合一成果质量监督检查和综合考评规定》有关规定对多测合一成果进行监督检查，检查建设单位和测绘中介服务机构的承诺内容是否属实。</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发现承诺不实的，由自然资源规划主管部门将监督检查结果告知相关审批部门，涉及建设单位承诺不实的，由相关审批部门责令其在规定时间内进行整改；涉及测绘中介服务机构承诺不实的，由自然资源规划主管部门责令其在规定时间内进行整改。逾期拒不整改或者整改后仍不符合要求的，相关审批部门可依法撤销行政许可决定。</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未经监督检查的建设工程项目，在事后发现违反承诺的，依法处置。</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第十二条【意见反馈】</w:t>
      </w:r>
      <w:r>
        <w:rPr>
          <w:rFonts w:hint="eastAsia" w:ascii="仿宋_GB2312" w:eastAsia="仿宋_GB2312"/>
          <w:color w:val="auto"/>
          <w:sz w:val="32"/>
          <w:szCs w:val="32"/>
        </w:rPr>
        <w:t>建设单位和测绘中介服务机构认为自然资源规划主管部门和相关审批部门监督检查结果与事实不符的，可自收到整改告知单之日起5个工作日内，向自然资源规划主管部门或相关审批部门提出书面陈述申辩和复检申请，并提供相应证据，逾期视为无异议。</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审批部门应当自收到建设单位异议申请之日起20个工作日内作出核实处理决定；自然资源规划主管部门应当在收到测绘中介服务机构复检申请之日起20个工作日内作出复检结论。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建设单位和测绘中介服务机构对复检结论仍有异议的，可以申请行政复议或者行政诉讼。</w:t>
      </w:r>
    </w:p>
    <w:p>
      <w:pPr>
        <w:pStyle w:val="24"/>
        <w:spacing w:line="560" w:lineRule="exact"/>
        <w:ind w:firstLine="642" w:firstLineChars="200"/>
        <w:rPr>
          <w:rFonts w:ascii="仿宋_GB2312" w:eastAsia="仿宋_GB2312"/>
          <w:color w:val="auto"/>
          <w:sz w:val="32"/>
          <w:szCs w:val="32"/>
        </w:rPr>
      </w:pPr>
      <w:r>
        <w:rPr>
          <w:rFonts w:hint="eastAsia" w:ascii="仿宋_GB2312" w:eastAsia="仿宋_GB2312"/>
          <w:b/>
          <w:bCs/>
          <w:color w:val="auto"/>
          <w:sz w:val="32"/>
          <w:szCs w:val="32"/>
        </w:rPr>
        <w:t>第十三条【实施时间】</w:t>
      </w:r>
      <w:r>
        <w:rPr>
          <w:rFonts w:hint="eastAsia" w:ascii="仿宋_GB2312" w:eastAsia="仿宋_GB2312"/>
          <w:color w:val="auto"/>
          <w:sz w:val="32"/>
          <w:szCs w:val="32"/>
        </w:rPr>
        <w:t>本办法自发布之日起执行。</w:t>
      </w:r>
    </w:p>
    <w:p>
      <w:pPr>
        <w:pStyle w:val="24"/>
        <w:spacing w:line="6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附件：1．《多测合一告知书》</w:t>
      </w:r>
    </w:p>
    <w:p>
      <w:pPr>
        <w:pStyle w:val="24"/>
        <w:spacing w:line="66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2．《告知承诺书》（建设单位）</w:t>
      </w:r>
    </w:p>
    <w:p>
      <w:pPr>
        <w:pStyle w:val="24"/>
        <w:spacing w:line="66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3.《告知承诺书》（测绘单位）</w:t>
      </w:r>
    </w:p>
    <w:p>
      <w:pPr>
        <w:pStyle w:val="24"/>
        <w:spacing w:line="66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4.《多测合一成果承诺表》</w:t>
      </w: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p>
    <w:p>
      <w:pPr>
        <w:pStyle w:val="24"/>
        <w:rPr>
          <w:rFonts w:ascii="黑体" w:eastAsia="黑体"/>
          <w:color w:val="auto"/>
          <w:sz w:val="32"/>
          <w:szCs w:val="32"/>
        </w:rPr>
      </w:pPr>
      <w:r>
        <w:rPr>
          <w:rFonts w:hint="eastAsia" w:ascii="黑体" w:eastAsia="黑体"/>
          <w:color w:val="auto"/>
          <w:sz w:val="32"/>
          <w:szCs w:val="32"/>
        </w:rPr>
        <w:t>附件1</w:t>
      </w:r>
    </w:p>
    <w:p>
      <w:pPr>
        <w:pStyle w:val="24"/>
        <w:jc w:val="center"/>
        <w:rPr>
          <w:rFonts w:ascii="宋体" w:hAnsi="宋体"/>
          <w:b/>
          <w:color w:val="auto"/>
          <w:sz w:val="44"/>
          <w:szCs w:val="44"/>
        </w:rPr>
      </w:pPr>
      <w:r>
        <w:rPr>
          <w:rFonts w:hint="eastAsia" w:ascii="宋体" w:hAnsi="宋体"/>
          <w:b/>
          <w:color w:val="auto"/>
          <w:sz w:val="44"/>
          <w:szCs w:val="44"/>
        </w:rPr>
        <w:t>多测合一告知书</w:t>
      </w:r>
    </w:p>
    <w:p>
      <w:pPr>
        <w:pStyle w:val="24"/>
        <w:spacing w:line="500" w:lineRule="exact"/>
        <w:ind w:firstLine="640" w:firstLineChars="200"/>
        <w:rPr>
          <w:rFonts w:ascii="仿宋_GB2312" w:eastAsia="仿宋_GB2312"/>
          <w:color w:val="auto"/>
          <w:sz w:val="32"/>
          <w:szCs w:val="32"/>
        </w:rPr>
      </w:pPr>
    </w:p>
    <w:p>
      <w:pPr>
        <w:pStyle w:val="24"/>
        <w:spacing w:after="156" w:afterLines="5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为进一步加快行政审批制度改革，改进行政管理方式，优化审批程序，提高行政效率，深入推进诚信建设，在本市实行工程建设项目多测合一告知承诺制。现就有关事宜告知如下：</w:t>
      </w:r>
    </w:p>
    <w:p>
      <w:pPr>
        <w:pStyle w:val="24"/>
        <w:spacing w:line="560" w:lineRule="exact"/>
        <w:ind w:firstLine="640" w:firstLineChars="200"/>
        <w:rPr>
          <w:rFonts w:ascii="黑体" w:hAnsi="黑体" w:eastAsia="黑体" w:cs="黑体"/>
          <w:color w:val="auto"/>
          <w:sz w:val="32"/>
          <w:szCs w:val="32"/>
        </w:rPr>
      </w:pPr>
      <w:r>
        <w:rPr>
          <w:rFonts w:hint="eastAsia" w:ascii="黑体" w:eastAsia="黑体"/>
          <w:color w:val="auto"/>
          <w:sz w:val="32"/>
          <w:szCs w:val="32"/>
        </w:rPr>
        <w:t>一、</w:t>
      </w:r>
      <w:r>
        <w:rPr>
          <w:rFonts w:hint="eastAsia" w:ascii="黑体" w:hAnsi="黑体" w:eastAsia="黑体" w:cs="黑体"/>
          <w:color w:val="auto"/>
          <w:sz w:val="32"/>
          <w:szCs w:val="32"/>
        </w:rPr>
        <w:t>全市域内国有建设用地及农村集体经营性建设用地范围内的新建、改（扩）建的房屋建筑和城市基础设施类工程建设项目</w:t>
      </w:r>
      <w:bookmarkStart w:id="0" w:name="_GoBack"/>
      <w:bookmarkEnd w:id="0"/>
      <w:r>
        <w:rPr>
          <w:rFonts w:hint="eastAsia" w:ascii="黑体" w:hAnsi="黑体" w:eastAsia="黑体" w:cs="黑体"/>
          <w:color w:val="auto"/>
          <w:sz w:val="32"/>
          <w:szCs w:val="32"/>
        </w:rPr>
        <w:t>全面实行多测合一。</w:t>
      </w:r>
    </w:p>
    <w:p>
      <w:pPr>
        <w:pStyle w:val="24"/>
        <w:spacing w:line="560" w:lineRule="exact"/>
        <w:ind w:firstLine="640" w:firstLineChars="200"/>
        <w:rPr>
          <w:rFonts w:ascii="黑体" w:eastAsia="黑体"/>
          <w:color w:val="auto"/>
          <w:sz w:val="32"/>
          <w:szCs w:val="32"/>
        </w:rPr>
      </w:pPr>
      <w:r>
        <w:rPr>
          <w:rFonts w:hint="eastAsia" w:ascii="黑体" w:eastAsia="黑体"/>
          <w:color w:val="auto"/>
          <w:sz w:val="32"/>
          <w:szCs w:val="32"/>
        </w:rPr>
        <w:t>二、多测合一中介服务机构应当符合下列条件：</w:t>
      </w:r>
    </w:p>
    <w:p>
      <w:pPr>
        <w:pStyle w:val="2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具有自然资源主管部门颁发的测绘资质证书，专业类别应当包含工程测量、</w:t>
      </w:r>
      <w:r>
        <w:rPr>
          <w:rFonts w:ascii="仿宋_GB2312" w:eastAsia="仿宋_GB2312"/>
          <w:color w:val="auto"/>
          <w:sz w:val="32"/>
          <w:szCs w:val="32"/>
        </w:rPr>
        <w:t>界线与不动产测绘</w:t>
      </w:r>
      <w:r>
        <w:rPr>
          <w:rFonts w:hint="eastAsia" w:ascii="仿宋_GB2312" w:eastAsia="仿宋_GB2312"/>
          <w:color w:val="auto"/>
          <w:sz w:val="32"/>
          <w:szCs w:val="32"/>
        </w:rPr>
        <w:t>，涉及实景三维的应当具有测绘航空遥感资质，测绘作业人员应持有测绘作业证件。</w:t>
      </w:r>
    </w:p>
    <w:p>
      <w:pPr>
        <w:pStyle w:val="24"/>
        <w:spacing w:line="560" w:lineRule="exact"/>
        <w:ind w:firstLine="640" w:firstLineChars="200"/>
        <w:rPr>
          <w:rFonts w:ascii="黑体" w:eastAsia="黑体"/>
          <w:color w:val="auto"/>
          <w:sz w:val="32"/>
          <w:szCs w:val="32"/>
        </w:rPr>
      </w:pPr>
      <w:r>
        <w:rPr>
          <w:rFonts w:hint="eastAsia" w:ascii="黑体" w:eastAsia="黑体"/>
          <w:color w:val="auto"/>
          <w:sz w:val="32"/>
          <w:szCs w:val="32"/>
        </w:rPr>
        <w:t>三、多测合一应当遵循以下法律、法规、规章和规范性文件</w:t>
      </w:r>
    </w:p>
    <w:p>
      <w:pPr>
        <w:pStyle w:val="24"/>
        <w:spacing w:line="560" w:lineRule="exact"/>
        <w:ind w:firstLine="640" w:firstLineChars="200"/>
        <w:rPr>
          <w:rFonts w:ascii="黑体" w:eastAsia="黑体"/>
          <w:color w:val="auto"/>
          <w:sz w:val="32"/>
          <w:szCs w:val="32"/>
        </w:rPr>
      </w:pPr>
      <w:r>
        <w:rPr>
          <w:rFonts w:hint="eastAsia" w:ascii="楷体_GB2312" w:eastAsia="楷体_GB2312"/>
          <w:color w:val="auto"/>
          <w:sz w:val="32"/>
          <w:szCs w:val="32"/>
        </w:rPr>
        <w:t>（一）测绘相关法律、法规及规范性文件</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《中华人民共和国测绘法》</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《测绘地理信息质量管理办法》</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浙江省</w:t>
      </w:r>
      <w:r>
        <w:rPr>
          <w:rFonts w:ascii="仿宋_GB2312" w:eastAsia="仿宋_GB2312"/>
          <w:color w:val="auto"/>
          <w:sz w:val="32"/>
          <w:szCs w:val="32"/>
        </w:rPr>
        <w:t>测绘地理信息行业信用管理办法》</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《宁波市测绘地理信息管理办法》</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《宁波市工程建设项目多测合一实施办法》</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《宁波市多测合一成果质量监督检查及综合考评规定》</w:t>
      </w:r>
    </w:p>
    <w:p>
      <w:pPr>
        <w:pStyle w:val="24"/>
        <w:spacing w:line="56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（二）其他相关法律、法规及规范性文件</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自然资源、住建、发改、人防、综合行政执法、公安、交通、水利、能源等相关法律法规及规范性文件。</w:t>
      </w:r>
    </w:p>
    <w:p>
      <w:pPr>
        <w:pStyle w:val="24"/>
        <w:spacing w:before="156" w:beforeLines="50" w:line="560" w:lineRule="exact"/>
        <w:ind w:firstLine="640" w:firstLineChars="200"/>
        <w:rPr>
          <w:rFonts w:ascii="黑体" w:eastAsia="黑体"/>
          <w:color w:val="auto"/>
          <w:sz w:val="32"/>
          <w:szCs w:val="32"/>
        </w:rPr>
      </w:pPr>
      <w:r>
        <w:rPr>
          <w:rFonts w:hint="eastAsia" w:ascii="黑体" w:eastAsia="黑体"/>
          <w:color w:val="auto"/>
          <w:sz w:val="32"/>
          <w:szCs w:val="32"/>
        </w:rPr>
        <w:t>四、多测合一应当执行以下技术标准和规范</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《数字测绘成果质量检查与验收》</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《浙江省建筑工程建筑面积计算和竣工综合测量技术规程》</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《1:500 1:1000 1:2000数字地形图测绘规范》</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《不动产权籍调查技术方案》</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《不动产单元设定与代码编制规则》</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《土地勘测定界规程》</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《管线探测技术规程》</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《管线要素分类代码与符号细则》</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《宁波市规划放线技术规程》</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《宁波市多测合一成果数据规范》</w:t>
      </w:r>
    </w:p>
    <w:p>
      <w:pPr>
        <w:pStyle w:val="24"/>
        <w:spacing w:before="156" w:beforeLines="50" w:line="560" w:lineRule="exact"/>
        <w:ind w:firstLine="640" w:firstLineChars="200"/>
        <w:rPr>
          <w:rFonts w:eastAsia="黑体"/>
          <w:color w:val="auto"/>
          <w:sz w:val="32"/>
          <w:szCs w:val="32"/>
        </w:rPr>
      </w:pPr>
      <w:r>
        <w:rPr>
          <w:rFonts w:eastAsia="黑体"/>
          <w:color w:val="auto"/>
          <w:sz w:val="32"/>
          <w:szCs w:val="32"/>
        </w:rPr>
        <w:t>五、多测合一应当委托1-2家符合条件的测绘中介服务机构承担（同一阶段的多个测绘业务应当委托1家实施）。</w:t>
      </w:r>
    </w:p>
    <w:p>
      <w:pPr>
        <w:pStyle w:val="24"/>
        <w:spacing w:line="560" w:lineRule="exact"/>
        <w:ind w:firstLine="640" w:firstLineChars="200"/>
        <w:rPr>
          <w:rFonts w:ascii="黑体" w:eastAsia="黑体"/>
          <w:color w:val="auto"/>
          <w:sz w:val="32"/>
          <w:szCs w:val="32"/>
        </w:rPr>
      </w:pPr>
      <w:r>
        <w:rPr>
          <w:rFonts w:hint="eastAsia" w:ascii="黑体" w:eastAsia="黑体"/>
          <w:color w:val="auto"/>
          <w:sz w:val="32"/>
          <w:szCs w:val="32"/>
        </w:rPr>
        <w:t>六、多测合一应当执行下列项目信息报送及成果提交要求</w:t>
      </w:r>
    </w:p>
    <w:p>
      <w:pPr>
        <w:pStyle w:val="24"/>
        <w:spacing w:before="156" w:beforeLines="50" w:line="560" w:lineRule="exact"/>
        <w:ind w:firstLine="640" w:firstLineChars="200"/>
        <w:rPr>
          <w:rFonts w:eastAsia="楷体_GB2312"/>
          <w:color w:val="auto"/>
          <w:sz w:val="32"/>
          <w:szCs w:val="32"/>
        </w:rPr>
      </w:pPr>
      <w:r>
        <w:rPr>
          <w:rFonts w:eastAsia="楷体_GB2312"/>
          <w:color w:val="auto"/>
          <w:sz w:val="32"/>
          <w:szCs w:val="32"/>
        </w:rPr>
        <w:t>（一）建设单位或者受其委托的测绘中介服务机构应当在多测合一项目委托后3日内在多测合一应用场景报送项目信息；</w:t>
      </w:r>
    </w:p>
    <w:p>
      <w:pPr>
        <w:pStyle w:val="24"/>
        <w:spacing w:before="156" w:beforeLines="50" w:line="560" w:lineRule="exact"/>
        <w:ind w:firstLine="640" w:firstLineChars="200"/>
        <w:rPr>
          <w:rFonts w:eastAsia="楷体_GB2312"/>
          <w:color w:val="auto"/>
          <w:sz w:val="32"/>
          <w:szCs w:val="32"/>
        </w:rPr>
      </w:pPr>
      <w:r>
        <w:rPr>
          <w:rFonts w:eastAsia="楷体_GB2312"/>
          <w:color w:val="auto"/>
          <w:sz w:val="32"/>
          <w:szCs w:val="32"/>
        </w:rPr>
        <w:t>（二）建设单位或者受其委托的测绘中介服务机构应当将分阶段测绘成果上传至多测合一应用场景。</w:t>
      </w:r>
    </w:p>
    <w:p>
      <w:pPr>
        <w:pStyle w:val="24"/>
        <w:spacing w:before="156" w:beforeLines="50" w:after="156" w:afterLines="50" w:line="560" w:lineRule="exact"/>
        <w:ind w:firstLine="640" w:firstLineChars="200"/>
        <w:rPr>
          <w:rFonts w:ascii="黑体" w:eastAsia="黑体"/>
          <w:color w:val="auto"/>
          <w:sz w:val="32"/>
          <w:szCs w:val="32"/>
        </w:rPr>
      </w:pPr>
      <w:r>
        <w:rPr>
          <w:rFonts w:hint="eastAsia" w:ascii="黑体" w:eastAsia="黑体"/>
          <w:color w:val="auto"/>
          <w:sz w:val="32"/>
          <w:szCs w:val="32"/>
        </w:rPr>
        <w:t>七、申请人应当如实向审批部门提交材料并反映真实情况，申请人应保证申请时提供的资料和数据的真实性、完整性、准确性和所提供成果与现场的一致性。</w:t>
      </w:r>
    </w:p>
    <w:p>
      <w:pPr>
        <w:pStyle w:val="24"/>
        <w:spacing w:line="560" w:lineRule="exact"/>
        <w:ind w:firstLine="640" w:firstLineChars="200"/>
        <w:rPr>
          <w:rFonts w:ascii="黑体" w:eastAsia="黑体"/>
          <w:color w:val="auto"/>
          <w:sz w:val="32"/>
          <w:szCs w:val="32"/>
        </w:rPr>
      </w:pPr>
      <w:r>
        <w:rPr>
          <w:rFonts w:hint="eastAsia" w:ascii="黑体" w:eastAsia="黑体"/>
          <w:color w:val="auto"/>
          <w:sz w:val="32"/>
          <w:szCs w:val="32"/>
        </w:rPr>
        <w:t>八、审批部门依据申请人提交的材料和多测合一成果作出审批决定，不代表对其真实性、完整性、准确性、一致性的认可。</w:t>
      </w:r>
    </w:p>
    <w:p>
      <w:pPr>
        <w:pStyle w:val="24"/>
        <w:spacing w:before="156" w:beforeLines="50" w:line="560" w:lineRule="exact"/>
        <w:ind w:firstLine="640" w:firstLineChars="200"/>
        <w:rPr>
          <w:rFonts w:ascii="黑体" w:eastAsia="黑体"/>
          <w:color w:val="auto"/>
          <w:sz w:val="32"/>
          <w:szCs w:val="32"/>
        </w:rPr>
      </w:pPr>
      <w:r>
        <w:rPr>
          <w:rFonts w:hint="eastAsia" w:ascii="黑体" w:eastAsia="黑体"/>
          <w:color w:val="auto"/>
          <w:sz w:val="32"/>
          <w:szCs w:val="32"/>
        </w:rPr>
        <w:t>九、审批部门依据申请人提交的材料和告知承诺书作出审批决定，如申请人承诺不实，应承担违反承诺的法律责任及由此造成的损失。</w:t>
      </w:r>
    </w:p>
    <w:p>
      <w:pPr>
        <w:pStyle w:val="24"/>
        <w:spacing w:line="560" w:lineRule="exact"/>
        <w:ind w:firstLine="640" w:firstLineChars="200"/>
        <w:rPr>
          <w:rFonts w:ascii="仿宋_GB2312" w:eastAsia="仿宋_GB2312"/>
          <w:bCs/>
          <w:color w:val="auto"/>
          <w:sz w:val="32"/>
          <w:szCs w:val="32"/>
        </w:rPr>
      </w:pPr>
    </w:p>
    <w:p>
      <w:pPr>
        <w:pStyle w:val="24"/>
        <w:spacing w:line="56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告知单位：</w:t>
      </w:r>
      <w:r>
        <w:rPr>
          <w:rFonts w:hint="eastAsia" w:ascii="仿宋_GB2312" w:eastAsia="仿宋_GB2312"/>
          <w:color w:val="auto"/>
          <w:sz w:val="32"/>
          <w:szCs w:val="32"/>
        </w:rPr>
        <w:t>宁波市自然资源规划局</w:t>
      </w:r>
    </w:p>
    <w:p>
      <w:pPr>
        <w:pStyle w:val="24"/>
        <w:spacing w:line="500" w:lineRule="exact"/>
        <w:ind w:firstLine="640" w:firstLineChars="200"/>
        <w:rPr>
          <w:rFonts w:ascii="仿宋_GB2312" w:eastAsia="仿宋_GB2312"/>
          <w:color w:val="auto"/>
          <w:sz w:val="32"/>
          <w:szCs w:val="32"/>
        </w:rPr>
      </w:pPr>
    </w:p>
    <w:p>
      <w:pPr>
        <w:pStyle w:val="24"/>
        <w:spacing w:line="500" w:lineRule="exact"/>
        <w:ind w:firstLine="640" w:firstLineChars="200"/>
        <w:rPr>
          <w:rFonts w:ascii="仿宋_GB2312" w:eastAsia="仿宋_GB2312"/>
          <w:color w:val="auto"/>
          <w:sz w:val="32"/>
          <w:szCs w:val="32"/>
        </w:rPr>
      </w:pPr>
    </w:p>
    <w:p>
      <w:pPr>
        <w:pStyle w:val="24"/>
        <w:spacing w:line="500" w:lineRule="exact"/>
        <w:rPr>
          <w:rFonts w:ascii="创艺简标宋" w:hAnsi="宋体" w:eastAsia="创艺简标宋"/>
          <w:color w:val="auto"/>
          <w:sz w:val="36"/>
          <w:szCs w:val="36"/>
        </w:rPr>
      </w:pPr>
      <w:r>
        <w:rPr>
          <w:rFonts w:eastAsia="仿宋_GB2312"/>
          <w:color w:val="auto"/>
          <w:sz w:val="30"/>
          <w:szCs w:val="30"/>
        </w:rPr>
        <w:br w:type="page"/>
      </w:r>
      <w:r>
        <w:rPr>
          <w:rFonts w:hint="eastAsia" w:ascii="黑体" w:eastAsia="黑体"/>
          <w:color w:val="auto"/>
          <w:sz w:val="32"/>
          <w:szCs w:val="32"/>
        </w:rPr>
        <w:t>附件2</w:t>
      </w:r>
    </w:p>
    <w:p>
      <w:pPr>
        <w:pStyle w:val="2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宋体" w:eastAsia="仿宋_GB2312"/>
          <w:color w:val="auto"/>
          <w:sz w:val="44"/>
          <w:szCs w:val="44"/>
        </w:rPr>
      </w:pPr>
      <w:r>
        <w:rPr>
          <w:rFonts w:hint="eastAsia" w:ascii="宋体" w:hAnsi="宋体"/>
          <w:b/>
          <w:color w:val="auto"/>
          <w:sz w:val="44"/>
          <w:szCs w:val="44"/>
        </w:rPr>
        <w:t>告知承诺书</w:t>
      </w:r>
      <w:r>
        <w:rPr>
          <w:rFonts w:hint="eastAsia" w:ascii="仿宋_GB2312" w:hAnsi="宋体" w:eastAsia="仿宋_GB2312"/>
          <w:color w:val="auto"/>
          <w:sz w:val="44"/>
          <w:szCs w:val="44"/>
        </w:rPr>
        <w:t>（建设单位）</w:t>
      </w:r>
    </w:p>
    <w:p>
      <w:pPr>
        <w:pStyle w:val="24"/>
        <w:keepNext w:val="0"/>
        <w:keepLines w:val="0"/>
        <w:pageBreakBefore w:val="0"/>
        <w:widowControl w:val="0"/>
        <w:kinsoku/>
        <w:wordWrap/>
        <w:overflowPunct/>
        <w:topLinePunct w:val="0"/>
        <w:autoSpaceDE/>
        <w:autoSpaceDN/>
        <w:bidi w:val="0"/>
        <w:adjustRightInd/>
        <w:snapToGrid/>
        <w:spacing w:line="560" w:lineRule="exact"/>
        <w:ind w:right="640" w:firstLine="640" w:firstLineChars="200"/>
        <w:jc w:val="center"/>
        <w:textAlignment w:val="auto"/>
        <w:rPr>
          <w:rFonts w:ascii="仿宋_GB2312" w:eastAsia="仿宋_GB2312"/>
          <w:color w:val="auto"/>
          <w:sz w:val="32"/>
          <w:szCs w:val="32"/>
        </w:rPr>
      </w:pPr>
      <w:r>
        <w:rPr>
          <w:rFonts w:hint="eastAsia" w:ascii="仿宋_GB2312" w:eastAsia="仿宋_GB2312"/>
          <w:color w:val="auto"/>
          <w:sz w:val="32"/>
          <w:szCs w:val="32"/>
        </w:rPr>
        <w:t xml:space="preserve">             投资项目代码：</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本单位已知悉你部门的《多测合一告知书》的全部内容，现就开展多测合一作出如下承诺：</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1、本单位承诺按照《实施办法》规定进行项目委托，遵循公开、公正、平等的市场竞争原则。</w:t>
      </w:r>
    </w:p>
    <w:p>
      <w:pPr>
        <w:pStyle w:val="24"/>
        <w:spacing w:line="50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、本单位承诺提交至多测合一应用场景的测绘成果</w:t>
      </w:r>
      <w:r>
        <w:rPr>
          <w:rFonts w:ascii="仿宋_GB2312" w:eastAsia="仿宋_GB2312"/>
          <w:color w:val="auto"/>
          <w:sz w:val="32"/>
          <w:szCs w:val="32"/>
        </w:rPr>
        <w:t>经过</w:t>
      </w:r>
      <w:r>
        <w:rPr>
          <w:rFonts w:hint="eastAsia" w:ascii="仿宋_GB2312" w:eastAsia="仿宋_GB2312"/>
          <w:color w:val="auto"/>
          <w:sz w:val="32"/>
          <w:szCs w:val="32"/>
        </w:rPr>
        <w:t>本单位验收合格，保证未胁迫、指使、窜通测绘中介服务机构篡改、伪造虚假测绘成果，确保提供资料和数据的真实性、完整性和准确性，并符合申请审批事项所应遵循的相关依据。</w:t>
      </w:r>
    </w:p>
    <w:p>
      <w:pPr>
        <w:pStyle w:val="24"/>
        <w:spacing w:line="50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、本单位承诺按照《实施办法》要求及时将项目信息及项目成果报送至多测合一应用场景。</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4、本单位承诺用于行政审批、登记的测绘成果均为提交至多测合一应用场景的成果。</w:t>
      </w:r>
    </w:p>
    <w:p>
      <w:pPr>
        <w:pStyle w:val="24"/>
        <w:spacing w:line="50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、本单位承诺如逾期拒不整改或者整改后仍不符合要求的</w:t>
      </w:r>
    </w:p>
    <w:p>
      <w:pPr>
        <w:pStyle w:val="24"/>
        <w:spacing w:line="500" w:lineRule="exact"/>
        <w:rPr>
          <w:rFonts w:hint="eastAsia"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自愿接受</w:t>
      </w:r>
      <w:r>
        <w:rPr>
          <w:rFonts w:hint="eastAsia" w:ascii="仿宋_GB2312" w:eastAsia="仿宋_GB2312"/>
          <w:color w:val="auto"/>
          <w:sz w:val="32"/>
          <w:szCs w:val="32"/>
        </w:rPr>
        <w:t>审批</w:t>
      </w:r>
      <w:r>
        <w:rPr>
          <w:rFonts w:hint="eastAsia" w:ascii="仿宋_GB2312" w:hAnsi="仿宋_GB2312" w:eastAsia="仿宋_GB2312"/>
          <w:color w:val="auto"/>
          <w:sz w:val="32"/>
          <w:szCs w:val="32"/>
        </w:rPr>
        <w:t>部门撤销行政许可决定。</w:t>
      </w:r>
    </w:p>
    <w:p>
      <w:pPr>
        <w:pStyle w:val="24"/>
        <w:spacing w:line="50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、本单位已知晓违反承诺的后果，并愿意承担相应的法律责任及由此造成的损失。</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本承诺为本单位真实意思的表示，并由本单位承担法律后果。</w:t>
      </w:r>
    </w:p>
    <w:p>
      <w:pPr>
        <w:pStyle w:val="24"/>
        <w:spacing w:line="5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建设单位：</w:t>
      </w:r>
      <w:r>
        <w:rPr>
          <w:rFonts w:hint="eastAsia" w:ascii="仿宋_GB2312" w:eastAsia="仿宋_GB2312"/>
          <w:color w:val="auto"/>
          <w:sz w:val="32"/>
          <w:szCs w:val="32"/>
        </w:rPr>
        <w:t>盖章（签字）</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法定代表人（授权代理人）：</w:t>
      </w:r>
      <w:r>
        <w:rPr>
          <w:rFonts w:hint="eastAsia" w:ascii="仿宋_GB2312" w:eastAsia="仿宋_GB2312"/>
          <w:color w:val="auto"/>
          <w:sz w:val="32"/>
          <w:szCs w:val="32"/>
        </w:rPr>
        <w:t>签字</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日    期：</w:t>
      </w:r>
      <w:r>
        <w:rPr>
          <w:rFonts w:hint="eastAsia" w:ascii="仿宋_GB2312" w:eastAsia="仿宋_GB2312"/>
          <w:color w:val="auto"/>
          <w:sz w:val="32"/>
          <w:szCs w:val="32"/>
        </w:rPr>
        <w:t xml:space="preserve">                   年    月    日</w:t>
      </w:r>
    </w:p>
    <w:p>
      <w:pPr>
        <w:pStyle w:val="24"/>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本承诺书作为多测合一成果组成部分，附在多测合一资料文本中。</w:t>
      </w:r>
    </w:p>
    <w:p>
      <w:pPr>
        <w:pStyle w:val="24"/>
        <w:spacing w:line="500" w:lineRule="exact"/>
        <w:rPr>
          <w:rFonts w:ascii="黑体" w:eastAsia="黑体"/>
          <w:color w:val="auto"/>
          <w:sz w:val="32"/>
          <w:szCs w:val="32"/>
        </w:rPr>
      </w:pPr>
      <w:r>
        <w:rPr>
          <w:rFonts w:hint="eastAsia" w:ascii="仿宋_GB2312" w:eastAsia="仿宋_GB2312"/>
          <w:color w:val="auto"/>
          <w:sz w:val="30"/>
          <w:szCs w:val="30"/>
        </w:rPr>
        <w:br w:type="page"/>
      </w:r>
      <w:r>
        <w:rPr>
          <w:rFonts w:hint="eastAsia" w:ascii="黑体" w:eastAsia="黑体"/>
          <w:color w:val="auto"/>
          <w:sz w:val="32"/>
          <w:szCs w:val="32"/>
        </w:rPr>
        <w:t>附件3</w:t>
      </w:r>
    </w:p>
    <w:p>
      <w:pPr>
        <w:pStyle w:val="24"/>
        <w:jc w:val="center"/>
        <w:rPr>
          <w:rFonts w:ascii="仿宋_GB2312" w:eastAsia="仿宋_GB2312"/>
          <w:color w:val="auto"/>
          <w:sz w:val="44"/>
          <w:szCs w:val="44"/>
        </w:rPr>
      </w:pPr>
      <w:r>
        <w:rPr>
          <w:rFonts w:hint="eastAsia"/>
          <w:b/>
          <w:color w:val="auto"/>
          <w:sz w:val="44"/>
          <w:szCs w:val="44"/>
        </w:rPr>
        <w:t>告知承诺书</w:t>
      </w:r>
      <w:r>
        <w:rPr>
          <w:rFonts w:hint="eastAsia" w:ascii="仿宋_GB2312" w:eastAsia="仿宋_GB2312"/>
          <w:color w:val="auto"/>
          <w:sz w:val="44"/>
          <w:szCs w:val="44"/>
        </w:rPr>
        <w:t>（测绘单位）</w:t>
      </w:r>
    </w:p>
    <w:p>
      <w:pPr>
        <w:pStyle w:val="24"/>
        <w:spacing w:line="580" w:lineRule="exact"/>
        <w:ind w:firstLine="4480" w:firstLineChars="1400"/>
        <w:rPr>
          <w:rFonts w:ascii="仿宋_GB2312" w:eastAsia="仿宋_GB2312"/>
          <w:color w:val="auto"/>
          <w:sz w:val="32"/>
          <w:szCs w:val="32"/>
        </w:rPr>
      </w:pPr>
      <w:r>
        <w:rPr>
          <w:rFonts w:hint="eastAsia" w:ascii="仿宋_GB2312" w:eastAsia="仿宋_GB2312"/>
          <w:color w:val="auto"/>
          <w:sz w:val="32"/>
          <w:szCs w:val="32"/>
        </w:rPr>
        <w:t>投资项目代码：</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本单位已知悉你部门的《多测合一告知书》的全部内容，现就有关事宜作出如下承诺：</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1、本单位保证按照《实施办法》规定进行项目承接，遵循公开、公正、平等的市场竞争原则，保证未对项目进行分包、转包。</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2、本单位保证提交至多测合一应用场景的测绘成果经过本单位的两级质量检查合格，确保所提供资料和数据的真实性、准确性、规范性，并符合国家、省、市相关规范和技术标准，承诺对其成果质量终身负责。</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3、本单位保证提交至多测合一应用场景的测绘成果与现场一致。</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4、如违反承诺，</w:t>
      </w:r>
      <w:r>
        <w:rPr>
          <w:rFonts w:hint="eastAsia" w:ascii="仿宋_GB2312" w:hAnsi="仿宋_GB2312" w:eastAsia="仿宋_GB2312"/>
          <w:color w:val="auto"/>
          <w:sz w:val="32"/>
          <w:szCs w:val="32"/>
        </w:rPr>
        <w:t>自愿自收到督查结果或有关情况被认定之日起</w:t>
      </w:r>
      <w:r>
        <w:rPr>
          <w:rFonts w:hint="eastAsia" w:ascii="仿宋_GB2312" w:eastAsia="仿宋_GB2312"/>
          <w:color w:val="auto"/>
          <w:sz w:val="32"/>
          <w:szCs w:val="32"/>
        </w:rPr>
        <w:t>，接受自然规划主管部门为期一年的差异化质量监督检查。</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5、本单位已知晓违反承诺的后果，并愿意承担相应的法律责任。</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本承诺为本单位真实意思的表示，并由本单位承担法律后果。</w:t>
      </w:r>
    </w:p>
    <w:p>
      <w:pPr>
        <w:pStyle w:val="24"/>
        <w:spacing w:line="5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测绘单位：</w:t>
      </w:r>
      <w:r>
        <w:rPr>
          <w:rFonts w:hint="eastAsia" w:ascii="仿宋_GB2312" w:eastAsia="仿宋_GB2312"/>
          <w:color w:val="auto"/>
          <w:sz w:val="32"/>
          <w:szCs w:val="32"/>
        </w:rPr>
        <w:t>盖章</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法定代表人（授权代理人）：</w:t>
      </w:r>
      <w:r>
        <w:rPr>
          <w:rFonts w:hint="eastAsia" w:ascii="仿宋_GB2312" w:eastAsia="仿宋_GB2312"/>
          <w:color w:val="auto"/>
          <w:sz w:val="32"/>
          <w:szCs w:val="32"/>
        </w:rPr>
        <w:t>签字</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日    期：</w:t>
      </w:r>
      <w:r>
        <w:rPr>
          <w:rFonts w:hint="eastAsia" w:ascii="仿宋_GB2312" w:eastAsia="仿宋_GB2312"/>
          <w:color w:val="auto"/>
          <w:sz w:val="32"/>
          <w:szCs w:val="32"/>
        </w:rPr>
        <w:t xml:space="preserve">                   年    月    日</w:t>
      </w:r>
    </w:p>
    <w:p>
      <w:pPr>
        <w:pStyle w:val="24"/>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本承诺书作为多测合一成果组成部分，附在多测合一资料文本中。</w:t>
      </w:r>
    </w:p>
    <w:p>
      <w:pPr>
        <w:pStyle w:val="24"/>
        <w:spacing w:line="500" w:lineRule="exact"/>
        <w:jc w:val="left"/>
        <w:rPr>
          <w:rFonts w:ascii="黑体" w:eastAsia="黑体"/>
          <w:color w:val="auto"/>
          <w:sz w:val="32"/>
          <w:szCs w:val="32"/>
        </w:rPr>
      </w:pPr>
      <w:r>
        <w:rPr>
          <w:rFonts w:hint="eastAsia" w:ascii="黑体" w:eastAsia="黑体"/>
          <w:color w:val="auto"/>
          <w:sz w:val="32"/>
          <w:szCs w:val="32"/>
        </w:rPr>
        <w:t>附件4</w:t>
      </w:r>
    </w:p>
    <w:p>
      <w:pPr>
        <w:pStyle w:val="24"/>
        <w:spacing w:line="500" w:lineRule="exact"/>
        <w:jc w:val="center"/>
        <w:rPr>
          <w:rFonts w:ascii="黑体" w:eastAsia="黑体"/>
          <w:color w:val="auto"/>
          <w:sz w:val="32"/>
          <w:szCs w:val="32"/>
        </w:rPr>
      </w:pPr>
      <w:r>
        <w:rPr>
          <w:rFonts w:hint="eastAsia" w:ascii="黑体" w:eastAsia="黑体"/>
          <w:color w:val="auto"/>
          <w:sz w:val="32"/>
          <w:szCs w:val="32"/>
        </w:rPr>
        <w:t>多测合一成果承诺表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143"/>
        <w:gridCol w:w="1213"/>
        <w:gridCol w:w="2038"/>
        <w:gridCol w:w="127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511"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分类</w:t>
            </w:r>
          </w:p>
        </w:tc>
        <w:tc>
          <w:tcPr>
            <w:tcW w:w="1143"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序号</w:t>
            </w:r>
          </w:p>
        </w:tc>
        <w:tc>
          <w:tcPr>
            <w:tcW w:w="3251" w:type="dxa"/>
            <w:gridSpan w:val="2"/>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要素</w:t>
            </w:r>
          </w:p>
        </w:tc>
        <w:tc>
          <w:tcPr>
            <w:tcW w:w="1279"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测绘成果</w:t>
            </w: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restart"/>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（一）规划核实指标</w:t>
            </w: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用地面积（㎡）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建筑面积（㎡）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3</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建筑基底面积（㎡）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4</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绿地面积（㎡）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5</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容积率（%）</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6</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建筑密度（%）</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7</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绿地率（%）</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8</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装配式建筑面积（㎡）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9</w:t>
            </w:r>
          </w:p>
        </w:tc>
        <w:tc>
          <w:tcPr>
            <w:tcW w:w="1213" w:type="dxa"/>
            <w:vMerge w:val="restart"/>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机动车位（个）</w:t>
            </w:r>
          </w:p>
        </w:tc>
        <w:tc>
          <w:tcPr>
            <w:tcW w:w="2038" w:type="dxa"/>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地上</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10</w:t>
            </w:r>
          </w:p>
        </w:tc>
        <w:tc>
          <w:tcPr>
            <w:tcW w:w="1213" w:type="dxa"/>
            <w:vMerge w:val="continue"/>
            <w:vAlign w:val="center"/>
          </w:tcPr>
          <w:p>
            <w:pPr>
              <w:tabs>
                <w:tab w:val="center" w:leader="dot" w:pos="7655"/>
              </w:tabs>
              <w:spacing w:line="300" w:lineRule="exact"/>
              <w:jc w:val="center"/>
              <w:rPr>
                <w:rFonts w:ascii="宋体" w:hAnsi="宋体" w:eastAsia="宋体" w:cs="宋体"/>
                <w:color w:val="auto"/>
                <w:sz w:val="24"/>
              </w:rPr>
            </w:pPr>
          </w:p>
        </w:tc>
        <w:tc>
          <w:tcPr>
            <w:tcW w:w="2038" w:type="dxa"/>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地下</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11</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非机动车位（辆）</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restart"/>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（二）不动产指标</w:t>
            </w: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12</w:t>
            </w:r>
          </w:p>
        </w:tc>
        <w:tc>
          <w:tcPr>
            <w:tcW w:w="3251" w:type="dxa"/>
            <w:gridSpan w:val="2"/>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住宅（实测套/实测面积）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13</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商业（实测套/实测面积）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14</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办公（实测套/实测面积）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15</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物业用房（实测套/实测面积）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restart"/>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（三）地下管线规划竣工指标</w:t>
            </w: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16</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highlight w:val="yellow"/>
              </w:rPr>
            </w:pPr>
            <w:r>
              <w:rPr>
                <w:rFonts w:hint="eastAsia" w:ascii="宋体" w:hAnsi="宋体" w:eastAsia="宋体" w:cs="宋体"/>
                <w:color w:val="auto"/>
                <w:sz w:val="24"/>
              </w:rPr>
              <w:t>给水（m）</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17</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highlight w:val="yellow"/>
              </w:rPr>
            </w:pPr>
            <w:r>
              <w:rPr>
                <w:rFonts w:hint="eastAsia" w:ascii="宋体" w:hAnsi="宋体" w:eastAsia="宋体" w:cs="宋体"/>
                <w:color w:val="auto"/>
                <w:sz w:val="24"/>
              </w:rPr>
              <w:t>排水（m）</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18</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highlight w:val="yellow"/>
              </w:rPr>
            </w:pPr>
            <w:r>
              <w:rPr>
                <w:rFonts w:hint="eastAsia" w:ascii="宋体" w:hAnsi="宋体" w:eastAsia="宋体" w:cs="宋体"/>
                <w:color w:val="auto"/>
                <w:sz w:val="24"/>
              </w:rPr>
              <w:t>燃气（m）</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19</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highlight w:val="yellow"/>
              </w:rPr>
            </w:pPr>
            <w:r>
              <w:rPr>
                <w:rFonts w:hint="eastAsia" w:ascii="宋体" w:hAnsi="宋体" w:eastAsia="宋体" w:cs="宋体"/>
                <w:color w:val="auto"/>
                <w:sz w:val="24"/>
              </w:rPr>
              <w:t>热力（m）</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20</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highlight w:val="yellow"/>
              </w:rPr>
            </w:pPr>
            <w:r>
              <w:rPr>
                <w:rFonts w:hint="eastAsia" w:ascii="宋体" w:hAnsi="宋体" w:eastAsia="宋体" w:cs="宋体"/>
                <w:color w:val="auto"/>
                <w:sz w:val="24"/>
              </w:rPr>
              <w:t>电力（m）</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21</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highlight w:val="yellow"/>
              </w:rPr>
            </w:pPr>
            <w:r>
              <w:rPr>
                <w:rFonts w:hint="eastAsia" w:ascii="宋体" w:hAnsi="宋体" w:eastAsia="宋体" w:cs="宋体"/>
                <w:color w:val="auto"/>
                <w:sz w:val="24"/>
              </w:rPr>
              <w:t>通信（m）</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22</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highlight w:val="yellow"/>
              </w:rPr>
            </w:pPr>
            <w:r>
              <w:rPr>
                <w:rFonts w:hint="eastAsia" w:ascii="宋体" w:hAnsi="宋体" w:eastAsia="宋体" w:cs="宋体"/>
                <w:color w:val="auto"/>
                <w:sz w:val="24"/>
              </w:rPr>
              <w:t>工业（m）</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11" w:type="dxa"/>
            <w:vMerge w:val="continue"/>
            <w:vAlign w:val="center"/>
          </w:tcPr>
          <w:p>
            <w:pPr>
              <w:spacing w:line="300" w:lineRule="exact"/>
              <w:jc w:val="center"/>
              <w:rPr>
                <w:rFonts w:ascii="宋体" w:hAnsi="宋体" w:eastAsia="宋体" w:cs="宋体"/>
                <w:color w:val="auto"/>
                <w:sz w:val="24"/>
              </w:rPr>
            </w:pP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23</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highlight w:val="yellow"/>
              </w:rPr>
            </w:pPr>
            <w:r>
              <w:rPr>
                <w:rFonts w:hint="eastAsia" w:ascii="宋体" w:hAnsi="宋体" w:eastAsia="宋体" w:cs="宋体"/>
                <w:color w:val="auto"/>
                <w:sz w:val="24"/>
              </w:rPr>
              <w:t>其他（m）</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11"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（四）人防核实测量</w:t>
            </w:r>
          </w:p>
        </w:tc>
        <w:tc>
          <w:tcPr>
            <w:tcW w:w="1143" w:type="dxa"/>
            <w:vAlign w:val="center"/>
          </w:tcPr>
          <w:p>
            <w:pPr>
              <w:spacing w:line="3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24</w:t>
            </w:r>
          </w:p>
        </w:tc>
        <w:tc>
          <w:tcPr>
            <w:tcW w:w="3251" w:type="dxa"/>
            <w:gridSpan w:val="2"/>
            <w:vAlign w:val="center"/>
          </w:tcPr>
          <w:p>
            <w:pPr>
              <w:tabs>
                <w:tab w:val="center" w:leader="dot" w:pos="7655"/>
              </w:tabs>
              <w:spacing w:line="300" w:lineRule="exact"/>
              <w:jc w:val="center"/>
              <w:rPr>
                <w:rFonts w:ascii="宋体" w:hAnsi="宋体" w:eastAsia="宋体" w:cs="宋体"/>
                <w:color w:val="auto"/>
                <w:sz w:val="24"/>
              </w:rPr>
            </w:pPr>
            <w:r>
              <w:rPr>
                <w:rFonts w:hint="eastAsia" w:ascii="宋体" w:hAnsi="宋体" w:eastAsia="宋体" w:cs="宋体"/>
                <w:color w:val="auto"/>
                <w:sz w:val="24"/>
              </w:rPr>
              <w:t>人防总面积（㎡）</w:t>
            </w:r>
          </w:p>
        </w:tc>
        <w:tc>
          <w:tcPr>
            <w:tcW w:w="1279" w:type="dxa"/>
            <w:vAlign w:val="center"/>
          </w:tcPr>
          <w:p>
            <w:pPr>
              <w:spacing w:line="300" w:lineRule="exact"/>
              <w:jc w:val="center"/>
              <w:rPr>
                <w:rFonts w:ascii="宋体" w:hAnsi="宋体" w:eastAsia="宋体" w:cs="宋体"/>
                <w:color w:val="auto"/>
                <w:sz w:val="24"/>
              </w:rPr>
            </w:pPr>
          </w:p>
        </w:tc>
        <w:tc>
          <w:tcPr>
            <w:tcW w:w="1588" w:type="dxa"/>
            <w:vAlign w:val="center"/>
          </w:tcPr>
          <w:p>
            <w:pPr>
              <w:spacing w:line="300" w:lineRule="exact"/>
              <w:jc w:val="center"/>
              <w:rPr>
                <w:rFonts w:ascii="宋体" w:hAnsi="宋体" w:eastAsia="宋体" w:cs="宋体"/>
                <w:color w:val="auto"/>
                <w:sz w:val="24"/>
              </w:rPr>
            </w:pPr>
            <w:r>
              <w:rPr>
                <w:rFonts w:hint="eastAsia" w:ascii="宋体" w:hAnsi="宋体" w:eastAsia="宋体" w:cs="宋体"/>
                <w:color w:val="auto"/>
                <w:sz w:val="24"/>
              </w:rPr>
              <w:t>√</w:t>
            </w:r>
          </w:p>
        </w:tc>
      </w:tr>
    </w:tbl>
    <w:p>
      <w:pPr>
        <w:pStyle w:val="24"/>
        <w:spacing w:line="500" w:lineRule="exact"/>
        <w:ind w:firstLine="640" w:firstLineChars="200"/>
        <w:rPr>
          <w:rFonts w:ascii="仿宋_GB2312" w:eastAsia="仿宋_GB2312"/>
          <w:bCs/>
          <w:color w:val="auto"/>
          <w:sz w:val="32"/>
          <w:szCs w:val="32"/>
        </w:rPr>
      </w:pPr>
    </w:p>
    <w:p>
      <w:pPr>
        <w:pStyle w:val="24"/>
        <w:spacing w:line="5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测绘单位：</w:t>
      </w:r>
      <w:r>
        <w:rPr>
          <w:rFonts w:hint="eastAsia" w:ascii="仿宋_GB2312" w:eastAsia="仿宋_GB2312"/>
          <w:color w:val="auto"/>
          <w:sz w:val="32"/>
          <w:szCs w:val="32"/>
        </w:rPr>
        <w:t>盖章</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法定代表人（授权代理人）：</w:t>
      </w:r>
      <w:r>
        <w:rPr>
          <w:rFonts w:hint="eastAsia" w:ascii="仿宋_GB2312" w:eastAsia="仿宋_GB2312"/>
          <w:color w:val="auto"/>
          <w:sz w:val="32"/>
          <w:szCs w:val="32"/>
        </w:rPr>
        <w:t>签字</w:t>
      </w:r>
    </w:p>
    <w:p>
      <w:pPr>
        <w:pStyle w:val="24"/>
        <w:spacing w:line="500" w:lineRule="exact"/>
        <w:ind w:firstLine="640" w:firstLineChars="200"/>
        <w:rPr>
          <w:rFonts w:ascii="仿宋_GB2312" w:hAnsi="仿宋_GB2312" w:eastAsia="仿宋_GB2312" w:cs="仿宋_GB2312"/>
          <w:color w:val="auto"/>
          <w:sz w:val="32"/>
          <w:szCs w:val="32"/>
        </w:rPr>
      </w:pPr>
      <w:r>
        <w:rPr>
          <w:rFonts w:hint="eastAsia" w:ascii="仿宋_GB2312" w:eastAsia="仿宋_GB2312"/>
          <w:bCs/>
          <w:color w:val="auto"/>
          <w:sz w:val="32"/>
          <w:szCs w:val="32"/>
        </w:rPr>
        <w:t>日    期：</w:t>
      </w:r>
      <w:r>
        <w:rPr>
          <w:rFonts w:hint="eastAsia" w:ascii="仿宋_GB2312" w:eastAsia="仿宋_GB2312"/>
          <w:color w:val="auto"/>
          <w:sz w:val="32"/>
          <w:szCs w:val="32"/>
        </w:rPr>
        <w:t xml:space="preserve">                   年    月    日</w:t>
      </w:r>
    </w:p>
    <w:sectPr>
      <w:headerReference r:id="rId3" w:type="first"/>
      <w:footerReference r:id="rId4" w:type="default"/>
      <w:footerReference r:id="rId5"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14"/>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4"/>
        <w:rFonts w:ascii="仿宋_GB2312" w:eastAsia="仿宋_GB2312"/>
        <w:sz w:val="28"/>
        <w:szCs w:val="28"/>
      </w:rPr>
      <w:t>12</w:t>
    </w:r>
    <w:r>
      <w:rPr>
        <w:rFonts w:hint="eastAsia" w:ascii="仿宋_GB2312" w:eastAsia="仿宋_GB2312"/>
        <w:sz w:val="28"/>
        <w:szCs w:val="28"/>
      </w:rPr>
      <w:fldChar w:fldCharType="end"/>
    </w:r>
    <w:r>
      <w:rPr>
        <w:rFonts w:hint="eastAsia" w:ascii="仿宋_GB2312" w:eastAsia="仿宋_GB2312"/>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3230"/>
    <w:rsid w:val="000161D1"/>
    <w:rsid w:val="000219ED"/>
    <w:rsid w:val="0002306D"/>
    <w:rsid w:val="00043D9D"/>
    <w:rsid w:val="000739DD"/>
    <w:rsid w:val="00097EF9"/>
    <w:rsid w:val="000A43B8"/>
    <w:rsid w:val="000A69DD"/>
    <w:rsid w:val="000B4D8C"/>
    <w:rsid w:val="000D0285"/>
    <w:rsid w:val="000D317F"/>
    <w:rsid w:val="00106C87"/>
    <w:rsid w:val="001073E2"/>
    <w:rsid w:val="00127525"/>
    <w:rsid w:val="0014575A"/>
    <w:rsid w:val="00151B33"/>
    <w:rsid w:val="00154DC9"/>
    <w:rsid w:val="00194B03"/>
    <w:rsid w:val="001A61D0"/>
    <w:rsid w:val="001C2794"/>
    <w:rsid w:val="001D6E25"/>
    <w:rsid w:val="001E6DDA"/>
    <w:rsid w:val="001E7E26"/>
    <w:rsid w:val="001F3668"/>
    <w:rsid w:val="002038A4"/>
    <w:rsid w:val="00226429"/>
    <w:rsid w:val="0022797B"/>
    <w:rsid w:val="00247AB8"/>
    <w:rsid w:val="00257F75"/>
    <w:rsid w:val="00272571"/>
    <w:rsid w:val="002749FD"/>
    <w:rsid w:val="00284450"/>
    <w:rsid w:val="00293E76"/>
    <w:rsid w:val="002947D2"/>
    <w:rsid w:val="002B36B3"/>
    <w:rsid w:val="002C4A3D"/>
    <w:rsid w:val="002D00A5"/>
    <w:rsid w:val="002D0E81"/>
    <w:rsid w:val="002E7B62"/>
    <w:rsid w:val="002F4BBB"/>
    <w:rsid w:val="00304643"/>
    <w:rsid w:val="00307D58"/>
    <w:rsid w:val="00311042"/>
    <w:rsid w:val="00320571"/>
    <w:rsid w:val="00326EBB"/>
    <w:rsid w:val="00340904"/>
    <w:rsid w:val="00343C3A"/>
    <w:rsid w:val="0035511B"/>
    <w:rsid w:val="0038100C"/>
    <w:rsid w:val="003901CB"/>
    <w:rsid w:val="00391155"/>
    <w:rsid w:val="0039153D"/>
    <w:rsid w:val="003A3C34"/>
    <w:rsid w:val="003A40B0"/>
    <w:rsid w:val="003C742A"/>
    <w:rsid w:val="003F2B1F"/>
    <w:rsid w:val="00427062"/>
    <w:rsid w:val="0045039C"/>
    <w:rsid w:val="00455750"/>
    <w:rsid w:val="004717D0"/>
    <w:rsid w:val="0049222C"/>
    <w:rsid w:val="004A52C3"/>
    <w:rsid w:val="004A676A"/>
    <w:rsid w:val="004B1B07"/>
    <w:rsid w:val="004D178F"/>
    <w:rsid w:val="00503505"/>
    <w:rsid w:val="00520B3C"/>
    <w:rsid w:val="00526EF7"/>
    <w:rsid w:val="00534AE9"/>
    <w:rsid w:val="00545CEF"/>
    <w:rsid w:val="0054612B"/>
    <w:rsid w:val="00554936"/>
    <w:rsid w:val="005607C8"/>
    <w:rsid w:val="00563353"/>
    <w:rsid w:val="00570343"/>
    <w:rsid w:val="0058042A"/>
    <w:rsid w:val="00583998"/>
    <w:rsid w:val="00592AE7"/>
    <w:rsid w:val="00593A05"/>
    <w:rsid w:val="005A1C4F"/>
    <w:rsid w:val="005A7101"/>
    <w:rsid w:val="005D2E6D"/>
    <w:rsid w:val="005D33C9"/>
    <w:rsid w:val="005E3543"/>
    <w:rsid w:val="006028C5"/>
    <w:rsid w:val="006129C1"/>
    <w:rsid w:val="0062605E"/>
    <w:rsid w:val="006276FD"/>
    <w:rsid w:val="00632BE6"/>
    <w:rsid w:val="00655002"/>
    <w:rsid w:val="00656832"/>
    <w:rsid w:val="00657E0B"/>
    <w:rsid w:val="00660BA0"/>
    <w:rsid w:val="00670B1F"/>
    <w:rsid w:val="00672400"/>
    <w:rsid w:val="00672DF3"/>
    <w:rsid w:val="00673260"/>
    <w:rsid w:val="0067411B"/>
    <w:rsid w:val="006A3F66"/>
    <w:rsid w:val="006A6907"/>
    <w:rsid w:val="006C0966"/>
    <w:rsid w:val="006C389D"/>
    <w:rsid w:val="006C663C"/>
    <w:rsid w:val="006E4B72"/>
    <w:rsid w:val="006E6FFF"/>
    <w:rsid w:val="00710AA5"/>
    <w:rsid w:val="00740E09"/>
    <w:rsid w:val="00745E55"/>
    <w:rsid w:val="007701D9"/>
    <w:rsid w:val="007725A0"/>
    <w:rsid w:val="00774189"/>
    <w:rsid w:val="00777E2F"/>
    <w:rsid w:val="00787098"/>
    <w:rsid w:val="0079293E"/>
    <w:rsid w:val="007934EB"/>
    <w:rsid w:val="007A2B95"/>
    <w:rsid w:val="007A5A06"/>
    <w:rsid w:val="007B5FC4"/>
    <w:rsid w:val="007C4AA4"/>
    <w:rsid w:val="007D2B02"/>
    <w:rsid w:val="007E15C9"/>
    <w:rsid w:val="007E2205"/>
    <w:rsid w:val="007F267E"/>
    <w:rsid w:val="007F2B98"/>
    <w:rsid w:val="007F38F5"/>
    <w:rsid w:val="00800E42"/>
    <w:rsid w:val="00803230"/>
    <w:rsid w:val="00813148"/>
    <w:rsid w:val="00814B57"/>
    <w:rsid w:val="00821D3E"/>
    <w:rsid w:val="008241EA"/>
    <w:rsid w:val="008258CB"/>
    <w:rsid w:val="00830D79"/>
    <w:rsid w:val="008329E4"/>
    <w:rsid w:val="008343F0"/>
    <w:rsid w:val="0083784C"/>
    <w:rsid w:val="00840DF7"/>
    <w:rsid w:val="00853235"/>
    <w:rsid w:val="00872556"/>
    <w:rsid w:val="008850F4"/>
    <w:rsid w:val="00895BAF"/>
    <w:rsid w:val="008A324D"/>
    <w:rsid w:val="008A6858"/>
    <w:rsid w:val="008E41BB"/>
    <w:rsid w:val="00907CA3"/>
    <w:rsid w:val="00920064"/>
    <w:rsid w:val="00923202"/>
    <w:rsid w:val="0092436F"/>
    <w:rsid w:val="00934CE2"/>
    <w:rsid w:val="009378CB"/>
    <w:rsid w:val="00937DB0"/>
    <w:rsid w:val="00944956"/>
    <w:rsid w:val="00952904"/>
    <w:rsid w:val="00961EDD"/>
    <w:rsid w:val="00964EBB"/>
    <w:rsid w:val="00972C06"/>
    <w:rsid w:val="0097582E"/>
    <w:rsid w:val="009A2EC7"/>
    <w:rsid w:val="009E37EF"/>
    <w:rsid w:val="00A06A26"/>
    <w:rsid w:val="00A16E0E"/>
    <w:rsid w:val="00A42DE1"/>
    <w:rsid w:val="00A4344B"/>
    <w:rsid w:val="00A535E9"/>
    <w:rsid w:val="00A540DF"/>
    <w:rsid w:val="00A646E3"/>
    <w:rsid w:val="00A660F2"/>
    <w:rsid w:val="00A7048F"/>
    <w:rsid w:val="00A80EBB"/>
    <w:rsid w:val="00A82EBB"/>
    <w:rsid w:val="00A870FF"/>
    <w:rsid w:val="00A90E97"/>
    <w:rsid w:val="00A940FF"/>
    <w:rsid w:val="00AB2047"/>
    <w:rsid w:val="00B05074"/>
    <w:rsid w:val="00B147D6"/>
    <w:rsid w:val="00B32966"/>
    <w:rsid w:val="00B33D29"/>
    <w:rsid w:val="00B53DC7"/>
    <w:rsid w:val="00B62EF2"/>
    <w:rsid w:val="00B821A3"/>
    <w:rsid w:val="00B9182A"/>
    <w:rsid w:val="00BA5381"/>
    <w:rsid w:val="00BB214B"/>
    <w:rsid w:val="00BB28BA"/>
    <w:rsid w:val="00BB2EEA"/>
    <w:rsid w:val="00BB787D"/>
    <w:rsid w:val="00BC3552"/>
    <w:rsid w:val="00BD2C2C"/>
    <w:rsid w:val="00BE2246"/>
    <w:rsid w:val="00BF5E96"/>
    <w:rsid w:val="00C06018"/>
    <w:rsid w:val="00C2486C"/>
    <w:rsid w:val="00C263D5"/>
    <w:rsid w:val="00C323C4"/>
    <w:rsid w:val="00C350B3"/>
    <w:rsid w:val="00C42AEC"/>
    <w:rsid w:val="00C50253"/>
    <w:rsid w:val="00C51CC4"/>
    <w:rsid w:val="00C54C8D"/>
    <w:rsid w:val="00C5747B"/>
    <w:rsid w:val="00C721CE"/>
    <w:rsid w:val="00C74C75"/>
    <w:rsid w:val="00C83EDD"/>
    <w:rsid w:val="00C86194"/>
    <w:rsid w:val="00C928E8"/>
    <w:rsid w:val="00C9471E"/>
    <w:rsid w:val="00CA014F"/>
    <w:rsid w:val="00CA322F"/>
    <w:rsid w:val="00CC100A"/>
    <w:rsid w:val="00CD2A63"/>
    <w:rsid w:val="00CE457E"/>
    <w:rsid w:val="00D042B4"/>
    <w:rsid w:val="00D13480"/>
    <w:rsid w:val="00D23912"/>
    <w:rsid w:val="00D276F3"/>
    <w:rsid w:val="00D35921"/>
    <w:rsid w:val="00D35B3E"/>
    <w:rsid w:val="00D35F50"/>
    <w:rsid w:val="00D37B90"/>
    <w:rsid w:val="00D4257A"/>
    <w:rsid w:val="00D435AA"/>
    <w:rsid w:val="00D53B17"/>
    <w:rsid w:val="00D67176"/>
    <w:rsid w:val="00D72F02"/>
    <w:rsid w:val="00D776FB"/>
    <w:rsid w:val="00D805E5"/>
    <w:rsid w:val="00D87EA3"/>
    <w:rsid w:val="00DA3716"/>
    <w:rsid w:val="00DA5759"/>
    <w:rsid w:val="00DB23E8"/>
    <w:rsid w:val="00DB3E85"/>
    <w:rsid w:val="00DF4946"/>
    <w:rsid w:val="00E07FDF"/>
    <w:rsid w:val="00E32319"/>
    <w:rsid w:val="00E34112"/>
    <w:rsid w:val="00E45665"/>
    <w:rsid w:val="00E50885"/>
    <w:rsid w:val="00E6319B"/>
    <w:rsid w:val="00E64E2E"/>
    <w:rsid w:val="00E70AFA"/>
    <w:rsid w:val="00E77DD5"/>
    <w:rsid w:val="00E87570"/>
    <w:rsid w:val="00E93AA8"/>
    <w:rsid w:val="00E94D43"/>
    <w:rsid w:val="00EB02CB"/>
    <w:rsid w:val="00EE0EEB"/>
    <w:rsid w:val="00EF1186"/>
    <w:rsid w:val="00F13D46"/>
    <w:rsid w:val="00F2727B"/>
    <w:rsid w:val="00F3257E"/>
    <w:rsid w:val="00F443CA"/>
    <w:rsid w:val="00F44E02"/>
    <w:rsid w:val="00F51EAE"/>
    <w:rsid w:val="00F619B8"/>
    <w:rsid w:val="00F66E05"/>
    <w:rsid w:val="00F74998"/>
    <w:rsid w:val="00F906E5"/>
    <w:rsid w:val="00FB0429"/>
    <w:rsid w:val="00FB21D4"/>
    <w:rsid w:val="00FC088B"/>
    <w:rsid w:val="00FD5AA5"/>
    <w:rsid w:val="00FE1361"/>
    <w:rsid w:val="00FE556C"/>
    <w:rsid w:val="00FF392F"/>
    <w:rsid w:val="375760EB"/>
    <w:rsid w:val="3B7BBA5C"/>
    <w:rsid w:val="3D9DE7CE"/>
    <w:rsid w:val="3DF31ACC"/>
    <w:rsid w:val="3EBBBCDF"/>
    <w:rsid w:val="4F4F618F"/>
    <w:rsid w:val="4FF56BC9"/>
    <w:rsid w:val="56FE6004"/>
    <w:rsid w:val="5B7B13CB"/>
    <w:rsid w:val="5BDF44F4"/>
    <w:rsid w:val="6753F0EA"/>
    <w:rsid w:val="677E7231"/>
    <w:rsid w:val="6AF7D64A"/>
    <w:rsid w:val="6E7FDC7E"/>
    <w:rsid w:val="6FFC0E9A"/>
    <w:rsid w:val="71DEAC39"/>
    <w:rsid w:val="72FFD420"/>
    <w:rsid w:val="771E06DE"/>
    <w:rsid w:val="779FC445"/>
    <w:rsid w:val="77B09A9F"/>
    <w:rsid w:val="7B77419D"/>
    <w:rsid w:val="7DAF6E99"/>
    <w:rsid w:val="7E6CEA9A"/>
    <w:rsid w:val="7F47C259"/>
    <w:rsid w:val="7F762C5C"/>
    <w:rsid w:val="7F7F046C"/>
    <w:rsid w:val="7FEDDE29"/>
    <w:rsid w:val="7FF7615A"/>
    <w:rsid w:val="88F7C34E"/>
    <w:rsid w:val="ACB77D9E"/>
    <w:rsid w:val="B574B26D"/>
    <w:rsid w:val="B7F31A0C"/>
    <w:rsid w:val="BBFFDC61"/>
    <w:rsid w:val="BF7795D4"/>
    <w:rsid w:val="C3D65E6C"/>
    <w:rsid w:val="C53F6273"/>
    <w:rsid w:val="CD45C508"/>
    <w:rsid w:val="CEF77F09"/>
    <w:rsid w:val="CF5FDDAE"/>
    <w:rsid w:val="DD767785"/>
    <w:rsid w:val="DF683D5E"/>
    <w:rsid w:val="DFBB40FE"/>
    <w:rsid w:val="DFFDDA20"/>
    <w:rsid w:val="E1FD1806"/>
    <w:rsid w:val="E7FDFA58"/>
    <w:rsid w:val="ECF8EB98"/>
    <w:rsid w:val="EDA23075"/>
    <w:rsid w:val="EEFE8A78"/>
    <w:rsid w:val="EEFF9565"/>
    <w:rsid w:val="EF735DB3"/>
    <w:rsid w:val="F3BD7F6D"/>
    <w:rsid w:val="F77D4787"/>
    <w:rsid w:val="F78F546C"/>
    <w:rsid w:val="F79D4F08"/>
    <w:rsid w:val="F7DF0117"/>
    <w:rsid w:val="F9EE4A48"/>
    <w:rsid w:val="FBFB0BAA"/>
    <w:rsid w:val="FCBE487A"/>
    <w:rsid w:val="FDFD33ED"/>
    <w:rsid w:val="FE56004F"/>
    <w:rsid w:val="FE9791CA"/>
    <w:rsid w:val="FEFF5254"/>
    <w:rsid w:val="FF622980"/>
    <w:rsid w:val="FF7F5D75"/>
    <w:rsid w:val="FFBA48AD"/>
    <w:rsid w:val="FFCC12F3"/>
    <w:rsid w:val="FFEBCE5B"/>
    <w:rsid w:val="FFFDEC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semiHidden/>
    <w:unhideWhenUsed/>
    <w:qFormat/>
    <w:uiPriority w:val="99"/>
    <w:pPr>
      <w:jc w:val="left"/>
    </w:pPr>
  </w:style>
  <w:style w:type="paragraph" w:styleId="5">
    <w:name w:val="Balloon Text"/>
    <w:basedOn w:val="1"/>
    <w:link w:val="23"/>
    <w:qFormat/>
    <w:uiPriority w:val="0"/>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9">
    <w:name w:val="Title"/>
    <w:basedOn w:val="1"/>
    <w:next w:val="1"/>
    <w:link w:val="27"/>
    <w:qFormat/>
    <w:uiPriority w:val="0"/>
    <w:pPr>
      <w:spacing w:before="240" w:after="60"/>
      <w:jc w:val="center"/>
      <w:outlineLvl w:val="0"/>
    </w:pPr>
    <w:rPr>
      <w:rFonts w:eastAsia="宋体" w:asciiTheme="majorHAnsi" w:hAnsiTheme="majorHAnsi" w:cstheme="majorBidi"/>
      <w:b/>
      <w:bCs/>
      <w:sz w:val="32"/>
      <w:szCs w:val="32"/>
    </w:rPr>
  </w:style>
  <w:style w:type="paragraph" w:styleId="10">
    <w:name w:val="annotation subject"/>
    <w:basedOn w:val="4"/>
    <w:next w:val="4"/>
    <w:link w:val="30"/>
    <w:semiHidden/>
    <w:unhideWhenUsed/>
    <w:qFormat/>
    <w:uiPriority w:val="99"/>
    <w:rPr>
      <w:b/>
      <w:bCs/>
    </w:rPr>
  </w:style>
  <w:style w:type="table" w:styleId="12">
    <w:name w:val="Table Grid"/>
    <w:basedOn w:val="1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semiHidden/>
    <w:unhideWhenUsed/>
    <w:qFormat/>
    <w:uiPriority w:val="99"/>
    <w:rPr>
      <w:color w:val="333333"/>
      <w:u w:val="none"/>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7"/>
    <w:qFormat/>
    <w:uiPriority w:val="0"/>
    <w:rPr>
      <w:sz w:val="18"/>
      <w:szCs w:val="18"/>
    </w:rPr>
  </w:style>
  <w:style w:type="character" w:customStyle="1" w:styleId="18">
    <w:name w:val="页脚 Char"/>
    <w:basedOn w:val="13"/>
    <w:link w:val="6"/>
    <w:qFormat/>
    <w:uiPriority w:val="99"/>
    <w:rPr>
      <w:sz w:val="18"/>
      <w:szCs w:val="18"/>
    </w:rPr>
  </w:style>
  <w:style w:type="character" w:customStyle="1" w:styleId="19">
    <w:name w:val="标题 1 Char"/>
    <w:basedOn w:val="13"/>
    <w:link w:val="2"/>
    <w:qFormat/>
    <w:uiPriority w:val="9"/>
    <w:rPr>
      <w:b/>
      <w:bCs/>
      <w:kern w:val="44"/>
      <w:sz w:val="44"/>
      <w:szCs w:val="44"/>
    </w:rPr>
  </w:style>
  <w:style w:type="character" w:customStyle="1" w:styleId="20">
    <w:name w:val="标题 2 Char"/>
    <w:basedOn w:val="13"/>
    <w:link w:val="3"/>
    <w:qFormat/>
    <w:uiPriority w:val="0"/>
    <w:rPr>
      <w:rFonts w:asciiTheme="majorHAnsi" w:hAnsiTheme="majorHAnsi" w:eastAsiaTheme="majorEastAsia" w:cstheme="majorBidi"/>
      <w:b/>
      <w:bCs/>
      <w:sz w:val="32"/>
      <w:szCs w:val="32"/>
    </w:rPr>
  </w:style>
  <w:style w:type="paragraph" w:customStyle="1" w:styleId="21">
    <w:name w:val="_Style 2"/>
    <w:qFormat/>
    <w:uiPriority w:val="0"/>
    <w:rPr>
      <w:rFonts w:ascii="Calibri" w:hAnsi="Calibri" w:eastAsiaTheme="minorEastAsia" w:cstheme="minorBidi"/>
      <w:sz w:val="22"/>
      <w:szCs w:val="22"/>
      <w:lang w:val="en-US" w:eastAsia="en-US" w:bidi="ar-SA"/>
    </w:rPr>
  </w:style>
  <w:style w:type="paragraph" w:customStyle="1" w:styleId="22">
    <w:name w:val="_Style 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批注框文本 Char"/>
    <w:basedOn w:val="13"/>
    <w:link w:val="5"/>
    <w:qFormat/>
    <w:uiPriority w:val="0"/>
    <w:rPr>
      <w:sz w:val="18"/>
      <w:szCs w:val="18"/>
    </w:rPr>
  </w:style>
  <w:style w:type="paragraph" w:styleId="24">
    <w:name w:val="No Spacing"/>
    <w:link w:val="2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无间隔 Char"/>
    <w:link w:val="24"/>
    <w:qFormat/>
    <w:uiPriority w:val="0"/>
    <w:rPr>
      <w:rFonts w:ascii="Times New Roman" w:hAnsi="Times New Roman" w:eastAsia="宋体" w:cs="Times New Roman"/>
      <w:szCs w:val="24"/>
    </w:rPr>
  </w:style>
  <w:style w:type="paragraph" w:customStyle="1" w:styleId="26">
    <w:name w:val="◇正文样式 宋体 悬挂缩进: 1.34 字符 左  2.02 字符 首行缩进:  -1.34 字符"/>
    <w:basedOn w:val="1"/>
    <w:qFormat/>
    <w:uiPriority w:val="0"/>
    <w:pPr>
      <w:ind w:left="709" w:hanging="284"/>
    </w:pPr>
    <w:rPr>
      <w:rFonts w:ascii="宋体" w:hAnsi="宋体" w:eastAsia="宋体" w:cs="宋体"/>
      <w:szCs w:val="20"/>
    </w:rPr>
  </w:style>
  <w:style w:type="character" w:customStyle="1" w:styleId="27">
    <w:name w:val="标题 Char"/>
    <w:basedOn w:val="13"/>
    <w:link w:val="9"/>
    <w:qFormat/>
    <w:uiPriority w:val="0"/>
    <w:rPr>
      <w:rFonts w:eastAsia="宋体" w:asciiTheme="majorHAnsi" w:hAnsiTheme="majorHAnsi" w:cstheme="majorBidi"/>
      <w:b/>
      <w:bCs/>
      <w:sz w:val="32"/>
      <w:szCs w:val="32"/>
    </w:rPr>
  </w:style>
  <w:style w:type="paragraph" w:customStyle="1" w:styleId="28">
    <w:name w:val="_Style 3"/>
    <w:basedOn w:val="1"/>
    <w:qFormat/>
    <w:uiPriority w:val="0"/>
    <w:pPr>
      <w:ind w:firstLine="420" w:firstLineChars="200"/>
    </w:pPr>
    <w:rPr>
      <w:rFonts w:ascii="Calibri" w:hAnsi="Calibri"/>
      <w:szCs w:val="22"/>
    </w:rPr>
  </w:style>
  <w:style w:type="character" w:customStyle="1" w:styleId="29">
    <w:name w:val="批注文字 Char"/>
    <w:basedOn w:val="13"/>
    <w:link w:val="4"/>
    <w:semiHidden/>
    <w:qFormat/>
    <w:uiPriority w:val="99"/>
    <w:rPr>
      <w:kern w:val="2"/>
      <w:sz w:val="21"/>
      <w:szCs w:val="24"/>
    </w:rPr>
  </w:style>
  <w:style w:type="character" w:customStyle="1" w:styleId="30">
    <w:name w:val="批注主题 Char"/>
    <w:basedOn w:val="29"/>
    <w:link w:val="10"/>
    <w:semiHidden/>
    <w:qFormat/>
    <w:uiPriority w:val="99"/>
    <w:rPr>
      <w:b/>
      <w:bCs/>
      <w:kern w:val="2"/>
      <w:sz w:val="21"/>
      <w:szCs w:val="24"/>
    </w:rPr>
  </w:style>
  <w:style w:type="paragraph" w:customStyle="1" w:styleId="31">
    <w:name w:val="J正文"/>
    <w:qFormat/>
    <w:uiPriority w:val="0"/>
    <w:pPr>
      <w:adjustRightInd w:val="0"/>
      <w:snapToGrid w:val="0"/>
      <w:spacing w:line="360" w:lineRule="auto"/>
      <w:ind w:firstLine="200" w:firstLineChars="200"/>
    </w:pPr>
    <w:rPr>
      <w:rFonts w:ascii="黑体" w:hAnsi="黑体" w:eastAsia="宋体" w:cs="Times New Roman"/>
      <w:bCs/>
      <w:kern w:val="44"/>
      <w:sz w:val="24"/>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chs</Company>
  <Pages>12</Pages>
  <Words>696</Words>
  <Characters>3970</Characters>
  <Lines>33</Lines>
  <Paragraphs>9</Paragraphs>
  <TotalTime>473</TotalTime>
  <ScaleCrop>false</ScaleCrop>
  <LinksUpToDate>false</LinksUpToDate>
  <CharactersWithSpaces>4657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2018-08-22T16:01:00Z</dcterms:created>
  <dc:creator>chs</dc:creator>
  <cp:lastModifiedBy>nbzgj</cp:lastModifiedBy>
  <cp:lastPrinted>2022-12-22T12:46:52Z</cp:lastPrinted>
  <dcterms:modified xsi:type="dcterms:W3CDTF">2022-12-22T14:12:38Z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