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0" w:lineRule="atLeas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/>
          <w:sz w:val="44"/>
          <w:szCs w:val="44"/>
          <w:lang w:val="en"/>
        </w:rPr>
        <w:t>2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年宁波市地质灾害防治方案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为做好202</w:t>
      </w: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hint="eastAsia" w:ascii="仿宋_GB2312" w:eastAsia="仿宋_GB2312"/>
          <w:sz w:val="32"/>
          <w:szCs w:val="32"/>
        </w:rPr>
        <w:t>年全市地质灾害防治工作，保障人民群众生命财产安全，最大限度减少地质灾害损失，根据国务院《地质灾害防治条例》、《浙江省地质灾害防治条例》、《宁波市地质灾害防治“十四五”规划》和《宁波市地质灾害“整体智治”三年行动方案（2020-2022年）》等要求，结合我市实际，制定本方案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以习近平新时代中国特色社会主义思想为指导，深入贯彻习近平总书记关于防灾减灾救灾工作系列重要论述精神、党的</w:t>
      </w:r>
      <w:r>
        <w:rPr>
          <w:rFonts w:hint="eastAsia" w:ascii="仿宋_GB2312" w:eastAsia="仿宋_GB2312"/>
          <w:sz w:val="32"/>
          <w:szCs w:val="32"/>
          <w:lang w:eastAsia="zh-CN"/>
        </w:rPr>
        <w:t>十九大和</w:t>
      </w:r>
      <w:r>
        <w:rPr>
          <w:rFonts w:hint="eastAsia" w:ascii="仿宋_GB2312" w:eastAsia="仿宋_GB2312"/>
          <w:sz w:val="32"/>
          <w:szCs w:val="32"/>
        </w:rPr>
        <w:t>十九届历次全会以及省委十四届八次全会和市委第十四次会议精神，遵循“以人为本、生命至上”原则，提高政治站位，克服麻痹思想，强化责任意识</w:t>
      </w:r>
      <w:r>
        <w:rPr>
          <w:rFonts w:ascii="仿宋_GB2312" w:eastAsia="仿宋_GB2312"/>
          <w:sz w:val="32"/>
          <w:szCs w:val="32"/>
          <w:lang w:val="en"/>
        </w:rPr>
        <w:t>,</w:t>
      </w:r>
      <w:r>
        <w:rPr>
          <w:rFonts w:hint="eastAsia" w:ascii="仿宋_GB2312" w:eastAsia="仿宋_GB2312"/>
          <w:sz w:val="32"/>
          <w:szCs w:val="32"/>
        </w:rPr>
        <w:t>忠实践行“八八战略”、当好“重要窗口”模范生，贯彻部省关于地质灾害防治的工作部署，全面落实地质灾害防治工作措施，加大地质灾害风险管控力度，提升宁波市地质灾害“整体智治”能力，夯实地质灾害风险隐患双控管理基础，加强地质灾害治理体系和治理能力建设，确保完成“不死人、少伤人、少损失”工作目标，</w:t>
      </w:r>
      <w:r>
        <w:rPr>
          <w:rFonts w:hint="eastAsia" w:ascii="仿宋_GB2312" w:eastAsia="仿宋_GB2312" w:cs="仿宋_GB2312"/>
          <w:color w:val="000000"/>
          <w:sz w:val="32"/>
        </w:rPr>
        <w:t>为我市城市和经济建设</w:t>
      </w:r>
      <w:r>
        <w:rPr>
          <w:rFonts w:hint="eastAsia" w:ascii="仿宋_GB2312" w:eastAsia="仿宋_GB2312"/>
          <w:color w:val="000000"/>
          <w:sz w:val="32"/>
        </w:rPr>
        <w:t>高质量发展</w:t>
      </w:r>
      <w:r>
        <w:rPr>
          <w:rFonts w:hint="eastAsia" w:ascii="仿宋_GB2312" w:eastAsia="仿宋_GB2312"/>
          <w:color w:val="000000"/>
          <w:sz w:val="32"/>
          <w:lang w:eastAsia="zh-CN"/>
        </w:rPr>
        <w:t>作</w:t>
      </w:r>
      <w:r>
        <w:rPr>
          <w:rFonts w:hint="eastAsia" w:ascii="仿宋_GB2312" w:eastAsia="仿宋_GB2312"/>
          <w:color w:val="000000"/>
          <w:sz w:val="32"/>
        </w:rPr>
        <w:t>出贡献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二、工作目标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全面完成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地质灾害“整体智治”三年行动，继续开展乡镇（街道）地质灾害风险调查评价，加快专群结合监测点建设；扎实推进省地质灾害“数字孪生”试点、鄞州风险隐患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双控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试点等改革工作；不断深化宁波市地质灾害防御场景应用；科学调整重点地区地质灾害临界雨量阈值，完善基于地质灾害风险“一张图”的实时预警系统；强化地质灾害风险动态管控，落实地质灾害风险防范区监管责任，着力打造地质灾害防治2.0升级版，最大限度降低地质灾害危害和损失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三、重点防范时段和区域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（一）防范范围。我市南部至西北部山区的突发性地质灾害易发区，10个区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市）的3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个重点防治乡镇（街道）（</w:t>
      </w:r>
      <w:r>
        <w:rPr>
          <w:rFonts w:hint="eastAsia" w:ascii="仿宋_GB2312" w:eastAsia="仿宋_GB2312"/>
          <w:sz w:val="32"/>
          <w:szCs w:val="32"/>
          <w:lang w:eastAsia="zh-CN"/>
        </w:rPr>
        <w:t>详见</w:t>
      </w: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1）。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（二）防治时段。梅汛期和台汛期；党的二十大和杭州亚运会等重大活动赛事召开举办期间；日降雨量50毫米以上或连续大雨3天以上、过程降雨量大于100毫米时段，以及发生强降雨至雨后48小时等时段。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防范重点。山区人口集聚区、交通沿线、旅游景点、工业园区和低丘缓坡开发区；已知地质灾害隐患点、地质灾害风险防范区、山区高陡边坡（开挖）地段、乡村道路建设切坡地段，小流域泥石流沟谷、在建地质灾害治理工程和</w:t>
      </w:r>
      <w:r>
        <w:rPr>
          <w:rFonts w:hint="eastAsia" w:ascii="仿宋_GB2312" w:eastAsia="仿宋_GB2312"/>
          <w:color w:val="000000"/>
          <w:sz w:val="32"/>
        </w:rPr>
        <w:t>地质灾害易发区内在建工程</w:t>
      </w:r>
      <w:r>
        <w:rPr>
          <w:rFonts w:hint="eastAsia" w:ascii="仿宋_GB2312" w:eastAsia="仿宋_GB2312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四、主要任务</w:t>
      </w:r>
    </w:p>
    <w:p>
      <w:pPr>
        <w:autoSpaceDE w:val="0"/>
        <w:autoSpaceDN w:val="0"/>
        <w:adjustRightInd w:val="0"/>
        <w:spacing w:line="560" w:lineRule="exact"/>
        <w:ind w:firstLine="630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（一）高质量完成地质灾害“整体智治”三年行动</w:t>
      </w:r>
      <w:r>
        <w:rPr>
          <w:rFonts w:hint="eastAsia" w:ascii="仿宋_GB2312" w:hAnsi="楷体" w:eastAsia="仿宋_GB2312"/>
          <w:b/>
          <w:sz w:val="32"/>
        </w:rPr>
        <w:t>。</w:t>
      </w:r>
      <w:r>
        <w:rPr>
          <w:rFonts w:hint="eastAsia" w:ascii="仿宋_GB2312" w:eastAsia="仿宋_GB2312"/>
          <w:sz w:val="32"/>
          <w:szCs w:val="32"/>
        </w:rPr>
        <w:t>今年是地质灾害“整体智治”三年行动收官之年，各地要严格按照省、市地质灾害“整体智治”三年行动工作方案要求，把握时间节点，注重工作成效，全面完成地质灾害风险普查调查、地质灾害专业监测网络建设、综合治理工程等工作任务，力争实现三年累计完成10个县级风险普查全覆盖、乡镇风险调查23个、专业监测点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个、综合治理40处等目标任务，打好收官之战。各地要全面评价地质灾害“整体智治”三年行动取得的成效，总结好的经验做法，通过地质灾害“整体智治”，实现我市地质灾害防治综合能力全面提升。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（二）扎实推进地质灾害防御工作改革试点。</w:t>
      </w:r>
      <w:r>
        <w:rPr>
          <w:rFonts w:hint="eastAsia" w:ascii="仿宋_GB2312" w:eastAsia="仿宋_GB2312"/>
          <w:sz w:val="32"/>
          <w:szCs w:val="32"/>
        </w:rPr>
        <w:t>全面建成地质灾害防御应用场景</w:t>
      </w:r>
      <w:r>
        <w:rPr>
          <w:rFonts w:ascii="仿宋_GB2312" w:eastAsia="仿宋_GB2312"/>
          <w:sz w:val="32"/>
          <w:szCs w:val="32"/>
          <w:lang w:val="en"/>
        </w:rPr>
        <w:t>,</w:t>
      </w:r>
      <w:r>
        <w:rPr>
          <w:rFonts w:hint="eastAsia" w:ascii="仿宋_GB2312" w:eastAsia="仿宋_GB2312"/>
          <w:sz w:val="32"/>
          <w:szCs w:val="32"/>
        </w:rPr>
        <w:t>以加快推进地质灾害数字化改革为契机，建成地质灾害防御应用场景，实现与省级平台全面贯通，实现风险调查、风险监测、风险研判、风险反馈、复盘评估等一体化应用，全面支撑在线监控和指挥决策能力。积极推进“数字孪生”试点</w:t>
      </w:r>
      <w:r>
        <w:rPr>
          <w:rFonts w:ascii="仿宋_GB2312" w:eastAsia="仿宋_GB2312"/>
          <w:sz w:val="32"/>
          <w:szCs w:val="32"/>
          <w:lang w:val="en"/>
        </w:rPr>
        <w:t>,</w:t>
      </w:r>
      <w:r>
        <w:rPr>
          <w:rFonts w:hint="eastAsia" w:ascii="仿宋_GB2312" w:eastAsia="仿宋_GB2312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孪生区域趋势检验和突变检测预警模型</w:t>
      </w:r>
      <w:r>
        <w:rPr>
          <w:rFonts w:hint="eastAsia" w:ascii="仿宋_GB2312" w:eastAsia="仿宋_GB2312"/>
          <w:sz w:val="32"/>
          <w:szCs w:val="32"/>
        </w:rPr>
        <w:t>研究，</w:t>
      </w:r>
      <w:r>
        <w:rPr>
          <w:rFonts w:ascii="仿宋_GB2312" w:eastAsia="仿宋_GB2312"/>
          <w:sz w:val="32"/>
          <w:szCs w:val="32"/>
        </w:rPr>
        <w:t>重点</w:t>
      </w:r>
      <w:r>
        <w:rPr>
          <w:rFonts w:hint="eastAsia" w:ascii="仿宋_GB2312" w:eastAsia="仿宋_GB2312"/>
          <w:sz w:val="32"/>
          <w:szCs w:val="32"/>
        </w:rPr>
        <w:t>做好孪生区域雨量阈值融合攻关应用，达到三维孪生体与地质灾害体同步仿真，为科学防灾提供有力支撑。高质量完成省级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双控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试点</w:t>
      </w:r>
      <w:r>
        <w:rPr>
          <w:rFonts w:ascii="仿宋_GB2312" w:eastAsia="仿宋_GB2312"/>
          <w:sz w:val="32"/>
          <w:szCs w:val="32"/>
          <w:lang w:val="en"/>
        </w:rPr>
        <w:t>,</w:t>
      </w:r>
      <w:r>
        <w:rPr>
          <w:rFonts w:hint="eastAsia" w:ascii="仿宋_GB2312" w:eastAsia="仿宋_GB2312"/>
          <w:sz w:val="32"/>
          <w:szCs w:val="32"/>
        </w:rPr>
        <w:t>推进鄞州风险隐患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双控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试点工作，以标识系统标准编制为重点，推进标识标牌二维码开发、标识标牌制作与安装等试点工作。争创</w:t>
      </w:r>
      <w:r>
        <w:rPr>
          <w:rFonts w:hint="eastAsia" w:ascii="仿宋_GB2312" w:eastAsia="仿宋_GB2312"/>
          <w:sz w:val="32"/>
          <w:szCs w:val="32"/>
          <w:lang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地质灾害隐患风险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双</w:t>
      </w:r>
      <w:r>
        <w:rPr>
          <w:rFonts w:hint="eastAsia" w:ascii="仿宋_GB2312" w:eastAsia="仿宋_GB2312"/>
          <w:sz w:val="32"/>
          <w:szCs w:val="32"/>
          <w:lang w:eastAsia="zh-CN"/>
        </w:rPr>
        <w:t>控”</w:t>
      </w:r>
      <w:r>
        <w:rPr>
          <w:rFonts w:hint="eastAsia" w:ascii="仿宋_GB2312" w:eastAsia="仿宋_GB2312"/>
          <w:sz w:val="32"/>
          <w:szCs w:val="32"/>
        </w:rPr>
        <w:t>全覆盖，整合提炼鄞州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双控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经验，以全国第一次自然灾害综合风险普查为抓手，全面整合县级风险普查和乡镇调查评价成果，进一步梳理风险隐患，全面推进落实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双控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措施，在全省率先实现市域地质灾害风险</w:t>
      </w:r>
      <w:r>
        <w:rPr>
          <w:rFonts w:hint="eastAsia" w:ascii="仿宋_GB2312" w:eastAsia="仿宋_GB2312"/>
          <w:sz w:val="32"/>
          <w:szCs w:val="32"/>
          <w:lang w:eastAsia="zh-CN"/>
        </w:rPr>
        <w:t>隐患“</w:t>
      </w:r>
      <w:r>
        <w:rPr>
          <w:rFonts w:hint="eastAsia" w:ascii="仿宋_GB2312" w:eastAsia="仿宋_GB2312"/>
          <w:sz w:val="32"/>
          <w:szCs w:val="32"/>
        </w:rPr>
        <w:t>双控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管理全覆盖。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（三）全力做好地质灾害“三查”和专业监测。</w:t>
      </w:r>
      <w:r>
        <w:rPr>
          <w:rFonts w:hint="eastAsia" w:ascii="仿宋_GB2312" w:eastAsia="仿宋_GB2312"/>
          <w:sz w:val="32"/>
          <w:szCs w:val="32"/>
        </w:rPr>
        <w:t>各地要严格落实“三查”制度，树立地质灾害以防为主思想，加大风险排查力度，摸清底数，努力实现“风险早发现、隐患早治理、险情早排除”，掌握地质灾害防治主动性。严格按照属地管理原则，加强专业监测设备的建设和运维，确保监测数据实时上传平台，保证监测网络的有效运行。按照《2021年浙江省地质灾害专群结合监测预警实验工作方案》和《地质灾害专群结合监测预警技术指南（试行）》要</w:t>
      </w:r>
      <w:r>
        <w:rPr>
          <w:rFonts w:hint="eastAsia" w:ascii="仿宋_GB2312" w:eastAsia="仿宋_GB2312"/>
          <w:color w:val="auto"/>
          <w:sz w:val="32"/>
          <w:szCs w:val="32"/>
        </w:rPr>
        <w:t>求，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在夯实基层群防力量基础上，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</w:rPr>
        <w:t>一步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完善专群结合监测网络，按照</w:t>
      </w:r>
      <w:r>
        <w:rPr>
          <w:rFonts w:hint="eastAsia" w:ascii="仿宋_GB2312" w:eastAsia="仿宋_GB2312"/>
          <w:sz w:val="32"/>
          <w:szCs w:val="32"/>
        </w:rPr>
        <w:t>“严审设计、严守进度、严格监管”原则，高质量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完成</w:t>
      </w:r>
      <w:r>
        <w:rPr>
          <w:rFonts w:hint="eastAsia" w:ascii="仿宋_GB2312" w:eastAsia="仿宋_GB2312"/>
          <w:sz w:val="32"/>
          <w:szCs w:val="32"/>
        </w:rPr>
        <w:t>地质灾害专业监测点建设。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（四）深化地质灾害风险预报预警。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突出数字化防灾手段应用，充分发挥宁波市地质灾害防御场景功能</w:t>
      </w:r>
      <w:r>
        <w:rPr>
          <w:rFonts w:hint="eastAsia" w:ascii="仿宋_GB2312" w:eastAsia="仿宋_GB2312"/>
          <w:sz w:val="32"/>
          <w:szCs w:val="32"/>
        </w:rPr>
        <w:t>，进一步提高预警预报准确性。各级气象、水利、资规等部门要加快推进基于公共数据工作平台的数据共享工作，加强雨量监测数据共享。资规部门要根据气象、水利部门的预报降雨和实时雨量数据，按照地质灾害气象风险预警会商要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，及时发布地质灾害气象风险等级预报、实时预警、地质灾害风险提示单和管控要求。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</w:t>
      </w:r>
      <w:r>
        <w:rPr>
          <w:rFonts w:hint="eastAsia" w:ascii="仿宋_GB2312" w:eastAsia="仿宋_GB2312"/>
          <w:sz w:val="32"/>
          <w:szCs w:val="32"/>
        </w:rPr>
        <w:t>加强地质灾害风险防范区临界雨量阈值研究，</w:t>
      </w:r>
      <w:r>
        <w:rPr>
          <w:rFonts w:hint="eastAsia" w:ascii="仿宋_GB2312" w:hAnsi="仿宋_GB2312" w:eastAsia="仿宋_GB2312" w:cs="仿宋_GB2312"/>
          <w:sz w:val="32"/>
          <w:szCs w:val="32"/>
        </w:rPr>
        <w:t>设定新入库地质灾害风险防范区实时预警阈值，县级资规部门要加强历史地质灾害案例的资料搜集和研究，适时做好动态评估和调整更新等工作。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bCs/>
          <w:sz w:val="32"/>
        </w:rPr>
        <w:t>（五）持续做好平原区地面沉降防控。</w:t>
      </w:r>
      <w:r>
        <w:rPr>
          <w:rFonts w:hint="eastAsia" w:ascii="仿宋_GB2312" w:eastAsia="仿宋_GB2312"/>
          <w:sz w:val="32"/>
        </w:rPr>
        <w:t>进一步健全地面沉降防控长效机制，按照《地面沉降风险区划和管控方案（2021-2025年）》要求，继续做好主要平原区地面沉降综合监测，完成地面沉降易发区城市地面沉降风险评估与区划，年底前各地要开展地面沉降易发区地质灾害危险性分区评估工作，进一步加强地面沉降风险管控。加强地下水动态监测，进一步厘清地下水监测网现状，做好全市地下水监测站点监测、维护和管理，探索地下水位动态预警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（六）不断强化</w:t>
      </w:r>
      <w:r>
        <w:rPr>
          <w:rFonts w:hint="eastAsia" w:ascii="仿宋_GB2312" w:hAnsi="楷体" w:eastAsia="仿宋_GB2312"/>
          <w:b/>
          <w:sz w:val="32"/>
        </w:rPr>
        <w:t>地质灾害应急处置。</w:t>
      </w:r>
      <w:r>
        <w:rPr>
          <w:rFonts w:hint="eastAsia" w:ascii="仿宋_GB2312" w:eastAsia="仿宋_GB2312"/>
          <w:sz w:val="32"/>
        </w:rPr>
        <w:t>各级应急管理部门要时刻保持危机意识，以新编应急预案为抓手，深化“安全码”管理应用，强化应急处置演练，调整充实地质灾害应急专家库，加强地质灾害应急装备现代化建设，做好应急处置各项准备工作，切实提升突发地质灾害防范和应急救援能力，确保一旦发生地质灾害事件，及时启动应急响应，合理调度救援力量，组织开展应急救援。各级</w:t>
      </w:r>
      <w:r>
        <w:rPr>
          <w:rFonts w:hint="eastAsia" w:ascii="仿宋_GB2312" w:eastAsia="仿宋_GB2312"/>
          <w:sz w:val="32"/>
          <w:lang w:eastAsia="zh-CN"/>
        </w:rPr>
        <w:t>资规</w:t>
      </w:r>
      <w:r>
        <w:rPr>
          <w:rFonts w:hint="eastAsia" w:ascii="仿宋_GB2312" w:eastAsia="仿宋_GB2312"/>
          <w:sz w:val="32"/>
        </w:rPr>
        <w:t>部门要切实做好应急技术支撑各项准备工作，接到地质灾害险灾情报告后，第一时间派遣专业技术队伍提供应急技术支撑工作。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（七）着力夯实地质灾害防治基础工作</w:t>
      </w:r>
      <w:r>
        <w:rPr>
          <w:rFonts w:hint="eastAsia" w:ascii="仿宋_GB2312" w:eastAsia="仿宋_GB2312"/>
          <w:sz w:val="32"/>
        </w:rPr>
        <w:t>。各地要统筹地质灾害防治体系建设和专项调查监测治理工程关系，重点做好隐患综合治理、普适型专业监测站点建设、土地质量（富硒土壤）调查、地面沉降易发区分区评估等工作，按照事权财权相统一的原则，及早落实资金计划，确保重点工作如期完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黑体" w:hAnsi="黑体" w:eastAsia="黑体"/>
          <w:sz w:val="32"/>
          <w:szCs w:val="32"/>
        </w:rPr>
        <w:t>五、保障措施</w:t>
      </w:r>
    </w:p>
    <w:p>
      <w:pPr>
        <w:spacing w:line="560" w:lineRule="exact"/>
        <w:ind w:firstLine="643" w:firstLineChars="200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（一）提高政治站位，加强组织领导。</w:t>
      </w:r>
      <w:r>
        <w:rPr>
          <w:rFonts w:hint="eastAsia" w:ascii="仿宋_GB2312" w:eastAsia="仿宋_GB2312"/>
          <w:sz w:val="32"/>
        </w:rPr>
        <w:t>今年将迎来党的二十大召开和杭州亚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运会举办，各地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各部门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要认真学习贯彻习近平总书记关于防灾减灾救灾工作系列重要论述，切实提高政治站位和思想认识，坚持以人民为中心的发展思想，坚持把人民群众生命财产安全放在首位，以河南郑州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汉仪大黑简" w:hAnsi="汉仪大黑简" w:eastAsia="汉仪大黑简" w:cs="汉仪大黑简"/>
          <w:color w:val="000000"/>
          <w:sz w:val="32"/>
          <w:szCs w:val="32"/>
          <w:shd w:val="clear" w:color="auto" w:fill="FFFFFF"/>
        </w:rPr>
        <w:t>·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特大暴雨灾害事故教训为警示，筑牢底线思维，强化责任意识，加强地质灾害防治工作的组织领导，完善地质灾害防治工作领导机构，持续推进地质灾害防治治理体系和治理能力建设，不断提升地质灾害防治能力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（二）</w:t>
      </w:r>
      <w:r>
        <w:rPr>
          <w:rFonts w:hint="eastAsia" w:ascii="仿宋_GB2312" w:hAnsi="楷体" w:eastAsia="仿宋_GB2312" w:cs="宋体"/>
          <w:b/>
          <w:kern w:val="0"/>
          <w:sz w:val="32"/>
          <w:szCs w:val="32"/>
        </w:rPr>
        <w:t>夯实主体责任</w:t>
      </w:r>
      <w:r>
        <w:rPr>
          <w:rFonts w:hint="eastAsia" w:ascii="仿宋_GB2312" w:hAnsi="楷体" w:eastAsia="仿宋_GB2312"/>
          <w:b/>
          <w:sz w:val="32"/>
          <w:szCs w:val="32"/>
        </w:rPr>
        <w:t>，强化政策支持。</w:t>
      </w:r>
      <w:r>
        <w:rPr>
          <w:rFonts w:hint="eastAsia" w:ascii="仿宋_GB2312" w:eastAsia="仿宋_GB2312"/>
          <w:sz w:val="32"/>
          <w:szCs w:val="32"/>
        </w:rPr>
        <w:t>各区（县、市）人民政府作为地质灾害防治责任主体，要加强组织领导，明确责任分工，确保按时保质完成地质灾害防治年度各项任务。要摸清底数，紧盯重点，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狠抓隐患排查，强化监测预警，落实应急预案，完善专业队伍建设，做到守土有责、防灾有方、治灾有法、救灾有略。</w:t>
      </w:r>
      <w:r>
        <w:rPr>
          <w:rFonts w:hint="eastAsia" w:ascii="仿宋_GB2312" w:eastAsia="仿宋_GB2312"/>
          <w:sz w:val="32"/>
          <w:szCs w:val="32"/>
        </w:rPr>
        <w:t>各地要把地质灾害防治工作经费纳入年度预算，加大投入，切实保障地质灾害防治各项工作顺利开展，确保地质灾害防治任务顺利完成。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（三）深化部门配合，凝聚工作合力。</w:t>
      </w:r>
      <w:r>
        <w:rPr>
          <w:rFonts w:hint="eastAsia" w:ascii="仿宋_GB2312" w:eastAsia="仿宋_GB2312"/>
          <w:sz w:val="32"/>
          <w:szCs w:val="32"/>
        </w:rPr>
        <w:t>各地各部门要树立大局意识，加强协同，全面落实安全度汛各项防御措施，齐心协力守住防灾救灾应急关口。地质灾害防治工作领导小组成员单位，要在政府的统一领导下，按照职责分工，加强工作配合，落实各项工作措施。要进一步压实乡镇（街道）基层一线防灾责任，</w:t>
      </w:r>
      <w:r>
        <w:rPr>
          <w:rFonts w:hint="eastAsia" w:ascii="仿宋_GB2312" w:eastAsia="仿宋_GB2312"/>
          <w:sz w:val="32"/>
        </w:rPr>
        <w:t>落实地质灾害风险防范区管理责任，</w:t>
      </w:r>
      <w:r>
        <w:rPr>
          <w:rFonts w:hint="eastAsia" w:ascii="仿宋_GB2312" w:eastAsia="仿宋_GB2312"/>
          <w:sz w:val="32"/>
          <w:szCs w:val="32"/>
        </w:rPr>
        <w:t>加大群测群防队伍建设。要按照“管理规范化、服务专业化、手段现代化、活动品牌化”的要求，开展地质队员</w:t>
      </w:r>
      <w:r>
        <w:rPr>
          <w:rFonts w:hint="eastAsia" w:ascii="仿宋_GB2312" w:eastAsia="仿宋_GB2312"/>
          <w:sz w:val="32"/>
        </w:rPr>
        <w:t>“驻县进乡”能力提升行动，加强</w:t>
      </w:r>
      <w:r>
        <w:rPr>
          <w:rFonts w:hint="eastAsia" w:ascii="仿宋_GB2312" w:eastAsia="仿宋_GB2312"/>
          <w:sz w:val="32"/>
          <w:szCs w:val="32"/>
        </w:rPr>
        <w:t>地质队员</w:t>
      </w:r>
      <w:r>
        <w:rPr>
          <w:rFonts w:hint="eastAsia" w:ascii="仿宋_GB2312" w:eastAsia="仿宋_GB2312"/>
          <w:sz w:val="32"/>
        </w:rPr>
        <w:t>“驻县进乡”应急技术支撑能力建设，充分发挥地质队员在地质灾害防治中的技术支撑作用。</w:t>
      </w:r>
    </w:p>
    <w:p>
      <w:pPr>
        <w:autoSpaceDE w:val="0"/>
        <w:autoSpaceDN w:val="0"/>
        <w:adjustRightInd w:val="0"/>
        <w:spacing w:line="560" w:lineRule="exact"/>
        <w:ind w:firstLine="627" w:firstLineChars="196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color w:val="000000"/>
          <w:sz w:val="32"/>
          <w:szCs w:val="32"/>
        </w:rPr>
        <w:t>：1．</w:t>
      </w:r>
      <w:r>
        <w:rPr>
          <w:rFonts w:hint="eastAsia" w:ascii="仿宋_GB2312" w:hAnsi="仿宋" w:eastAsia="仿宋_GB2312" w:cs="仿宋"/>
          <w:bCs/>
          <w:sz w:val="32"/>
          <w:szCs w:val="32"/>
        </w:rPr>
        <w:t>2022年宁波市地质灾害防治重点任务表</w:t>
      </w:r>
    </w:p>
    <w:p>
      <w:pPr>
        <w:spacing w:line="560" w:lineRule="exact"/>
        <w:ind w:left="2236" w:leftChars="760" w:hanging="640" w:hanging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2．2022年宁波市地质灾害防治工作领导小组成员</w:t>
      </w:r>
    </w:p>
    <w:p>
      <w:pPr>
        <w:spacing w:line="560" w:lineRule="exact"/>
        <w:ind w:firstLine="1920" w:firstLineChars="60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color w:val="000000"/>
          <w:sz w:val="32"/>
          <w:szCs w:val="32"/>
        </w:rPr>
        <w:t>有关单位工作任务要点</w:t>
      </w:r>
    </w:p>
    <w:p>
      <w:pPr>
        <w:spacing w:line="580" w:lineRule="exact"/>
        <w:ind w:right="641"/>
        <w:rPr>
          <w:rFonts w:ascii="仿宋_GB2312" w:hAnsi="??" w:eastAsia="仿宋_GB2312"/>
          <w:sz w:val="28"/>
          <w:szCs w:val="28"/>
        </w:rPr>
      </w:pPr>
    </w:p>
    <w:p>
      <w:pPr>
        <w:spacing w:line="580" w:lineRule="exact"/>
        <w:ind w:right="641"/>
        <w:rPr>
          <w:rFonts w:ascii="仿宋_GB2312" w:hAnsi="??" w:eastAsia="仿宋_GB2312"/>
          <w:sz w:val="28"/>
          <w:szCs w:val="28"/>
        </w:rPr>
        <w:sectPr>
          <w:footerReference r:id="rId3" w:type="default"/>
          <w:footerReference r:id="rId4" w:type="even"/>
          <w:footnotePr>
            <w:numRestart w:val="eachPage"/>
          </w:footnotePr>
          <w:pgSz w:w="11906" w:h="16838"/>
          <w:pgMar w:top="1361" w:right="1474" w:bottom="1985" w:left="1588" w:header="851" w:footer="1134" w:gutter="0"/>
          <w:pgNumType w:fmt="numberInDash"/>
          <w:cols w:space="425" w:num="1"/>
          <w:docGrid w:linePitch="587" w:charSpace="-849"/>
        </w:sectPr>
      </w:pPr>
    </w:p>
    <w:p>
      <w:pPr>
        <w:spacing w:after="120" w:afterLines="50" w:line="360" w:lineRule="exact"/>
        <w:jc w:val="left"/>
        <w:rPr>
          <w:rFonts w:hint="default" w:ascii="黑体" w:hAnsi="黑体" w:eastAsia="黑体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</w:t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1</w:t>
      </w:r>
    </w:p>
    <w:p>
      <w:pPr>
        <w:spacing w:after="120" w:afterLines="50" w:line="360" w:lineRule="exact"/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ascii="方正小标宋简体" w:hAnsi="方正小标宋简体" w:eastAsia="方正小标宋简体" w:cs="仿宋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仿宋"/>
          <w:bCs/>
          <w:sz w:val="36"/>
          <w:szCs w:val="36"/>
        </w:rPr>
        <w:t>2年宁波市地质灾害防治重点任务表</w:t>
      </w:r>
    </w:p>
    <w:tbl>
      <w:tblPr>
        <w:tblStyle w:val="6"/>
        <w:tblW w:w="129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850"/>
        <w:gridCol w:w="1657"/>
        <w:gridCol w:w="1490"/>
        <w:gridCol w:w="1287"/>
        <w:gridCol w:w="1134"/>
        <w:gridCol w:w="5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</w:rPr>
              <w:t>区</w:t>
            </w:r>
            <w:r>
              <w:rPr>
                <w:rFonts w:hint="eastAsia" w:ascii="仿宋_GB2312" w:eastAsia="仿宋_GB2312" w:cs="仿宋_GB2312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b/>
                <w:bCs/>
                <w:szCs w:val="21"/>
              </w:rPr>
              <w:t>县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b/>
                <w:bCs/>
                <w:szCs w:val="21"/>
              </w:rPr>
              <w:t>市）</w:t>
            </w:r>
          </w:p>
        </w:tc>
        <w:tc>
          <w:tcPr>
            <w:tcW w:w="25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地质灾害风险防范区（个）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</w:rPr>
              <w:t>启动地面沉降危险性评估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</w:rPr>
              <w:t>累计建成专业监测点（处）</w:t>
            </w:r>
          </w:p>
        </w:tc>
        <w:tc>
          <w:tcPr>
            <w:tcW w:w="63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</w:rPr>
              <w:t>防治重点乡镇（街道）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07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</w:rPr>
              <w:t>数量</w:t>
            </w:r>
          </w:p>
        </w:tc>
        <w:tc>
          <w:tcPr>
            <w:tcW w:w="517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</w:rPr>
              <w:t>入库地质灾害隐患点（个）</w:t>
            </w:r>
          </w:p>
        </w:tc>
        <w:tc>
          <w:tcPr>
            <w:tcW w:w="14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海曙区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52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横街镇、章水镇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江北区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eastAsia="zh-CN"/>
              </w:rPr>
              <w:t>慈城镇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镇海区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eastAsia="zh-CN"/>
              </w:rPr>
              <w:t>澥浦镇、九龙湖镇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北仑区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36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小港街道</w:t>
            </w:r>
            <w:r>
              <w:rPr>
                <w:rFonts w:hint="eastAsia" w:ascii="仿宋_GB2312" w:eastAsia="仿宋_GB2312" w:cs="仿宋_GB2312"/>
                <w:szCs w:val="21"/>
                <w:lang w:eastAsia="zh-CN"/>
              </w:rPr>
              <w:t>、大碶街道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鄞州区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66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塘溪镇、横溪镇、东吴镇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奉化区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159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萧王庙街道、溪口镇、</w:t>
            </w:r>
            <w:r>
              <w:rPr>
                <w:rFonts w:hint="eastAsia" w:ascii="仿宋_GB2312" w:eastAsia="仿宋_GB2312" w:cs="仿宋_GB2312"/>
                <w:szCs w:val="21"/>
                <w:lang w:eastAsia="zh-CN"/>
              </w:rPr>
              <w:t>尚田街道</w:t>
            </w:r>
            <w:r>
              <w:rPr>
                <w:rFonts w:hint="eastAsia" w:ascii="仿宋_GB2312" w:eastAsia="仿宋_GB2312" w:cs="仿宋_GB2312"/>
                <w:szCs w:val="21"/>
              </w:rPr>
              <w:t>、大堰镇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余姚市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138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Cs w:val="21"/>
              </w:rPr>
            </w:pPr>
            <w:r>
              <w:rPr>
                <w:rFonts w:hint="eastAsia" w:ascii="仿宋_GB2312" w:eastAsia="仿宋_GB2312" w:cs="仿宋_GB2312"/>
                <w:spacing w:val="-18"/>
                <w:szCs w:val="21"/>
              </w:rPr>
              <w:t>梨洲街道、陆埠镇、梁弄镇、</w:t>
            </w:r>
            <w:r>
              <w:rPr>
                <w:rFonts w:hint="eastAsia" w:ascii="仿宋_GB2312" w:eastAsia="仿宋_GB2312" w:cs="仿宋_GB2312"/>
                <w:spacing w:val="-18"/>
                <w:szCs w:val="21"/>
                <w:lang w:eastAsia="zh-CN"/>
              </w:rPr>
              <w:t>四</w:t>
            </w:r>
            <w:r>
              <w:rPr>
                <w:rFonts w:hint="eastAsia" w:ascii="仿宋_GB2312" w:eastAsia="仿宋_GB2312" w:cs="仿宋_GB2312"/>
                <w:spacing w:val="-18"/>
                <w:szCs w:val="21"/>
              </w:rPr>
              <w:t>明山镇、鹿亭乡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慈溪市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eastAsia="zh-CN"/>
              </w:rPr>
              <w:t>观海卫镇、匡堰镇、</w:t>
            </w:r>
            <w:r>
              <w:rPr>
                <w:rFonts w:hint="eastAsia" w:ascii="仿宋_GB2312" w:eastAsia="仿宋_GB2312" w:cs="仿宋_GB2312"/>
                <w:szCs w:val="21"/>
              </w:rPr>
              <w:t>横河镇</w:t>
            </w:r>
            <w:r>
              <w:rPr>
                <w:rFonts w:hint="eastAsia" w:ascii="仿宋_GB2312" w:eastAsia="仿宋_GB2312" w:cs="仿宋_GB2312"/>
                <w:szCs w:val="21"/>
                <w:lang w:eastAsia="zh-CN"/>
              </w:rPr>
              <w:t>、龙山镇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宁海县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17</w:t>
            </w:r>
            <w:r>
              <w:rPr>
                <w:rFonts w:ascii="仿宋_GB2312" w:eastAsia="仿宋_GB2312" w:cs="仿宋_GB2312"/>
                <w:szCs w:val="21"/>
              </w:rPr>
              <w:t>9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eastAsia="zh-CN"/>
              </w:rPr>
              <w:t>跃龙街道、</w:t>
            </w:r>
            <w:r>
              <w:rPr>
                <w:rFonts w:hint="eastAsia" w:ascii="仿宋_GB2312" w:eastAsia="仿宋_GB2312" w:cs="仿宋_GB2312"/>
                <w:szCs w:val="21"/>
              </w:rPr>
              <w:t>桑洲镇、黄坛镇、</w:t>
            </w:r>
            <w:r>
              <w:rPr>
                <w:rFonts w:hint="eastAsia" w:ascii="仿宋_GB2312" w:eastAsia="仿宋_GB2312" w:cs="仿宋_GB2312"/>
                <w:szCs w:val="21"/>
                <w:lang w:eastAsia="zh-CN"/>
              </w:rPr>
              <w:t>强蛟镇、</w:t>
            </w:r>
            <w:r>
              <w:rPr>
                <w:rFonts w:hint="eastAsia" w:ascii="仿宋_GB2312" w:eastAsia="仿宋_GB2312" w:cs="仿宋_GB2312"/>
                <w:szCs w:val="21"/>
              </w:rPr>
              <w:t>深</w:t>
            </w:r>
            <w:r>
              <w:rPr>
                <w:rFonts w:hint="eastAsia" w:ascii="仿宋_GB2312" w:hAnsi="宋体" w:cs="宋体"/>
                <w:szCs w:val="21"/>
              </w:rPr>
              <w:t>甽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镇</w:t>
            </w:r>
            <w:r>
              <w:rPr>
                <w:rFonts w:hint="eastAsia" w:ascii="仿宋_GB2312" w:eastAsia="仿宋_GB2312" w:cs="仿宋_GB2312"/>
                <w:szCs w:val="21"/>
              </w:rPr>
              <w:t>、胡陈乡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象山县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石浦镇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大榭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开发区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大榭街道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高新区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东钱湖旅游度假区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东钱湖镇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合计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795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</w:rPr>
              <w:t>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</w:tbl>
    <w:p>
      <w:pPr>
        <w:spacing w:before="120" w:beforeLines="50" w:line="400" w:lineRule="exact"/>
        <w:jc w:val="left"/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b/>
          <w:sz w:val="24"/>
        </w:rPr>
        <w:t>备注：</w:t>
      </w:r>
      <w:r>
        <w:rPr>
          <w:rFonts w:hint="eastAsia" w:ascii="仿宋_GB2312" w:eastAsia="仿宋_GB2312" w:cs="仿宋_GB2312"/>
          <w:sz w:val="24"/>
        </w:rPr>
        <w:t>地质灾害风险防范区与隐患点数量将根据省市县“一张图”变化情况实施动态调整。</w:t>
      </w:r>
      <w:r>
        <w:rPr>
          <w:rFonts w:ascii="仿宋_GB2312" w:eastAsia="仿宋_GB2312" w:cs="仿宋_GB2312"/>
          <w:sz w:val="24"/>
        </w:rPr>
        <w:br w:type="page"/>
      </w:r>
    </w:p>
    <w:p>
      <w:pPr>
        <w:adjustRightInd w:val="0"/>
        <w:snapToGrid w:val="0"/>
        <w:spacing w:line="360" w:lineRule="auto"/>
        <w:outlineLvl w:val="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6"/>
          <w:szCs w:val="36"/>
        </w:rPr>
        <w:t>2022年宁波市地质灾害防治工作领导小组成员及有关单位工作任务要点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napToGrid w:val="0"/>
          <w:kern w:val="0"/>
          <w:sz w:val="36"/>
          <w:szCs w:val="36"/>
        </w:rPr>
      </w:pPr>
    </w:p>
    <w:tbl>
      <w:tblPr>
        <w:tblStyle w:val="6"/>
        <w:tblW w:w="147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534"/>
        <w:gridCol w:w="11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1134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</w:rPr>
              <w:t>工作任务要点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2534" w:type="dxa"/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市发改委</w:t>
            </w:r>
          </w:p>
        </w:tc>
        <w:tc>
          <w:tcPr>
            <w:tcW w:w="11340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负责协调应急治理项目计划的安排，协调有关方面落实项目资金。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2</w:t>
            </w:r>
          </w:p>
        </w:tc>
        <w:tc>
          <w:tcPr>
            <w:tcW w:w="2534" w:type="dxa"/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市</w:t>
            </w:r>
            <w:r>
              <w:rPr>
                <w:rFonts w:eastAsia="仿宋_GB2312"/>
                <w:snapToGrid w:val="0"/>
                <w:kern w:val="0"/>
                <w:sz w:val="24"/>
              </w:rPr>
              <w:t>财政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局</w:t>
            </w:r>
          </w:p>
        </w:tc>
        <w:tc>
          <w:tcPr>
            <w:tcW w:w="11340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做好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市</w:t>
            </w:r>
            <w:r>
              <w:rPr>
                <w:rFonts w:eastAsia="仿宋_GB2312"/>
                <w:snapToGrid w:val="0"/>
                <w:kern w:val="0"/>
                <w:sz w:val="24"/>
              </w:rPr>
              <w:t>级专项防治、应急与救灾工作经费保障和监督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3</w:t>
            </w:r>
          </w:p>
        </w:tc>
        <w:tc>
          <w:tcPr>
            <w:tcW w:w="2534" w:type="dxa"/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市</w:t>
            </w:r>
            <w:r>
              <w:rPr>
                <w:rFonts w:eastAsia="仿宋_GB2312"/>
                <w:snapToGrid w:val="0"/>
                <w:kern w:val="0"/>
                <w:sz w:val="24"/>
              </w:rPr>
              <w:t>资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规局</w:t>
            </w:r>
          </w:p>
        </w:tc>
        <w:tc>
          <w:tcPr>
            <w:tcW w:w="11340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做好地质灾害调查评价、监测预警、应急技术支撑、综合治理和地质灾害防治制度建设等工作。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2534" w:type="dxa"/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市住建局</w:t>
            </w:r>
          </w:p>
        </w:tc>
        <w:tc>
          <w:tcPr>
            <w:tcW w:w="11340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做好全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农村房屋安全隐患排查整治工作。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5</w:t>
            </w:r>
          </w:p>
        </w:tc>
        <w:tc>
          <w:tcPr>
            <w:tcW w:w="2534" w:type="dxa"/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市综合执法局</w:t>
            </w:r>
          </w:p>
        </w:tc>
        <w:tc>
          <w:tcPr>
            <w:tcW w:w="11340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负责城市道路沿线地质灾害的巡查。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6</w:t>
            </w:r>
          </w:p>
        </w:tc>
        <w:tc>
          <w:tcPr>
            <w:tcW w:w="2534" w:type="dxa"/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交通</w:t>
            </w:r>
            <w:r>
              <w:rPr>
                <w:rFonts w:hint="eastAsia" w:eastAsia="仿宋_GB2312"/>
                <w:sz w:val="24"/>
              </w:rPr>
              <w:t>局</w:t>
            </w:r>
          </w:p>
        </w:tc>
        <w:tc>
          <w:tcPr>
            <w:tcW w:w="11340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组织协调指导和监督已建及在建公路</w:t>
            </w:r>
            <w:r>
              <w:rPr>
                <w:rFonts w:eastAsia="仿宋_GB2312"/>
                <w:color w:val="auto"/>
                <w:sz w:val="24"/>
              </w:rPr>
              <w:t>水路建设管养单位，做好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公路水路</w:t>
            </w:r>
            <w:r>
              <w:rPr>
                <w:rFonts w:eastAsia="仿宋_GB2312"/>
                <w:color w:val="auto"/>
                <w:sz w:val="24"/>
              </w:rPr>
              <w:t>地质灾害隐患</w:t>
            </w:r>
            <w:r>
              <w:rPr>
                <w:rFonts w:hint="eastAsia" w:eastAsia="仿宋_GB2312"/>
                <w:color w:val="auto"/>
                <w:sz w:val="24"/>
              </w:rPr>
              <w:t>风险</w:t>
            </w:r>
            <w:r>
              <w:rPr>
                <w:rFonts w:eastAsia="仿宋_GB2312"/>
                <w:color w:val="auto"/>
                <w:sz w:val="24"/>
              </w:rPr>
              <w:t>的巡查、监测、防治等工作，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配合公路沿线地方政府</w:t>
            </w:r>
            <w:r>
              <w:rPr>
                <w:rFonts w:eastAsia="仿宋_GB2312"/>
                <w:color w:val="auto"/>
                <w:sz w:val="24"/>
              </w:rPr>
              <w:t>建立公路沿线地质灾害防治工作联动机</w:t>
            </w:r>
            <w:r>
              <w:rPr>
                <w:rFonts w:eastAsia="仿宋_GB2312"/>
                <w:sz w:val="24"/>
              </w:rPr>
              <w:t>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7</w:t>
            </w:r>
          </w:p>
        </w:tc>
        <w:tc>
          <w:tcPr>
            <w:tcW w:w="2534" w:type="dxa"/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水利</w:t>
            </w:r>
            <w:r>
              <w:rPr>
                <w:rFonts w:hint="eastAsia" w:eastAsia="仿宋_GB2312"/>
                <w:sz w:val="24"/>
              </w:rPr>
              <w:t>局</w:t>
            </w:r>
          </w:p>
        </w:tc>
        <w:tc>
          <w:tcPr>
            <w:tcW w:w="11340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指导、监督有关单位做好水利工程地质灾害隐患的巡查、监测和防治等工作，做好地质灾害预报预警所需水文数据保障工作。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8</w:t>
            </w:r>
          </w:p>
        </w:tc>
        <w:tc>
          <w:tcPr>
            <w:tcW w:w="2534" w:type="dxa"/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应急管理</w:t>
            </w:r>
            <w:r>
              <w:rPr>
                <w:rFonts w:hint="eastAsia" w:eastAsia="仿宋_GB2312"/>
                <w:sz w:val="24"/>
              </w:rPr>
              <w:t>局</w:t>
            </w:r>
          </w:p>
        </w:tc>
        <w:tc>
          <w:tcPr>
            <w:tcW w:w="11340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组织编制市级突发地质灾害应急预案，组织开展并指导预案演练，</w:t>
            </w:r>
            <w:r>
              <w:rPr>
                <w:rFonts w:eastAsia="仿宋_GB2312"/>
                <w:sz w:val="24"/>
              </w:rPr>
              <w:t>做好突发性地质灾害</w:t>
            </w:r>
            <w:r>
              <w:rPr>
                <w:rFonts w:hint="eastAsia" w:eastAsia="仿宋_GB2312"/>
                <w:sz w:val="24"/>
              </w:rPr>
              <w:t>的</w:t>
            </w:r>
            <w:r>
              <w:rPr>
                <w:rFonts w:eastAsia="仿宋_GB2312"/>
                <w:sz w:val="24"/>
              </w:rPr>
              <w:t>应急</w:t>
            </w:r>
            <w:r>
              <w:rPr>
                <w:rFonts w:hint="eastAsia" w:eastAsia="仿宋_GB2312"/>
                <w:sz w:val="24"/>
              </w:rPr>
              <w:t>救援、</w:t>
            </w:r>
            <w:r>
              <w:rPr>
                <w:rFonts w:eastAsia="仿宋_GB2312"/>
                <w:sz w:val="24"/>
              </w:rPr>
              <w:t>组织指挥、统筹协调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</w:rPr>
              <w:t>负责地质灾害避险安置点建设等</w:t>
            </w:r>
            <w:r>
              <w:rPr>
                <w:rFonts w:eastAsia="仿宋_GB2312"/>
                <w:sz w:val="24"/>
              </w:rPr>
              <w:t>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9</w:t>
            </w:r>
          </w:p>
        </w:tc>
        <w:tc>
          <w:tcPr>
            <w:tcW w:w="2534" w:type="dxa"/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市教育局</w:t>
            </w:r>
          </w:p>
        </w:tc>
        <w:tc>
          <w:tcPr>
            <w:tcW w:w="11340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组织开展地质灾害防治知识进校园工作。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hint="default" w:eastAsia="仿宋_GB2312"/>
                <w:snapToGrid w:val="0"/>
                <w:kern w:val="0"/>
                <w:sz w:val="24"/>
                <w:lang w:val="en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1</w:t>
            </w:r>
            <w:r>
              <w:rPr>
                <w:rFonts w:hint="default" w:eastAsia="仿宋_GB2312"/>
                <w:snapToGrid w:val="0"/>
                <w:kern w:val="0"/>
                <w:sz w:val="24"/>
                <w:lang w:val="en"/>
              </w:rPr>
              <w:t>0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市农业农村局</w:t>
            </w:r>
          </w:p>
        </w:tc>
        <w:tc>
          <w:tcPr>
            <w:tcW w:w="1134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配合做好地质灾害避让搬迁小区项目工作。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hint="default" w:eastAsia="仿宋_GB2312"/>
                <w:snapToGrid w:val="0"/>
                <w:kern w:val="0"/>
                <w:sz w:val="24"/>
                <w:lang w:val="en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1</w:t>
            </w:r>
            <w:r>
              <w:rPr>
                <w:rFonts w:hint="default" w:eastAsia="仿宋_GB2312"/>
                <w:snapToGrid w:val="0"/>
                <w:kern w:val="0"/>
                <w:sz w:val="24"/>
                <w:lang w:val="en"/>
              </w:rPr>
              <w:t>1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市文广旅游局</w:t>
            </w:r>
          </w:p>
        </w:tc>
        <w:tc>
          <w:tcPr>
            <w:tcW w:w="1134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组织开展旅游景点</w:t>
            </w:r>
            <w:r>
              <w:rPr>
                <w:rFonts w:eastAsia="仿宋_GB2312"/>
                <w:sz w:val="24"/>
              </w:rPr>
              <w:t>地质灾害隐患</w:t>
            </w:r>
            <w:r>
              <w:rPr>
                <w:rFonts w:hint="eastAsia" w:eastAsia="仿宋_GB2312"/>
                <w:sz w:val="24"/>
              </w:rPr>
              <w:t>风险</w:t>
            </w:r>
            <w:r>
              <w:rPr>
                <w:rFonts w:eastAsia="仿宋_GB2312"/>
                <w:sz w:val="24"/>
              </w:rPr>
              <w:t>的巡查、监测、防治等工作</w:t>
            </w:r>
            <w:r>
              <w:rPr>
                <w:rFonts w:hint="eastAsia" w:eastAsia="仿宋_GB2312"/>
                <w:sz w:val="24"/>
              </w:rPr>
              <w:t>，监督指导旅行社对游客的地质灾害风险预警和提示。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hint="default" w:eastAsia="仿宋_GB2312"/>
                <w:snapToGrid w:val="0"/>
                <w:kern w:val="0"/>
                <w:sz w:val="24"/>
                <w:lang w:val="en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1</w:t>
            </w:r>
            <w:r>
              <w:rPr>
                <w:rFonts w:hint="default" w:eastAsia="仿宋_GB2312"/>
                <w:snapToGrid w:val="0"/>
                <w:kern w:val="0"/>
                <w:sz w:val="24"/>
                <w:lang w:val="en"/>
              </w:rPr>
              <w:t>2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气象</w:t>
            </w:r>
            <w:r>
              <w:rPr>
                <w:rFonts w:hint="eastAsia" w:eastAsia="仿宋_GB2312"/>
                <w:sz w:val="24"/>
              </w:rPr>
              <w:t>局</w:t>
            </w:r>
          </w:p>
        </w:tc>
        <w:tc>
          <w:tcPr>
            <w:tcW w:w="1134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做好地质灾害预报预警所需气象资料信息保障工作，联合开展地质灾害气象预报预警。</w:t>
            </w:r>
          </w:p>
        </w:tc>
      </w:tr>
    </w:tbl>
    <w:p>
      <w:pPr>
        <w:sectPr>
          <w:footnotePr>
            <w:numRestart w:val="eachPage"/>
          </w:footnotePr>
          <w:pgSz w:w="16838" w:h="11906" w:orient="landscape"/>
          <w:pgMar w:top="567" w:right="2098" w:bottom="567" w:left="1985" w:header="851" w:footer="1134" w:gutter="0"/>
          <w:pgNumType w:fmt="numberInDash"/>
          <w:cols w:space="425" w:num="1"/>
          <w:docGrid w:linePitch="587" w:charSpace="-849"/>
        </w:sectPr>
      </w:pPr>
    </w:p>
    <w:p>
      <w:pPr>
        <w:widowControl/>
        <w:jc w:val="left"/>
      </w:pPr>
    </w:p>
    <w:sectPr>
      <w:footnotePr>
        <w:numRestart w:val="eachPage"/>
      </w:footnotePr>
      <w:type w:val="continuous"/>
      <w:pgSz w:w="11906" w:h="16838"/>
      <w:pgMar w:top="2098" w:right="567" w:bottom="1985" w:left="567" w:header="851" w:footer="1134" w:gutter="0"/>
      <w:pgNumType w:fmt="numberInDash"/>
      <w:cols w:space="425" w:num="1"/>
      <w:docGrid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986885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  <w:ind w:right="360" w:firstLine="7560" w:firstLineChars="2700"/>
      <w:rPr>
        <w:rFonts w:ascii="仿宋_GB2312" w:eastAsia="仿宋_GB2312"/>
        <w:color w:val="FFFFFF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420"/>
  <w:drawingGridVerticalSpacing w:val="156"/>
  <w:noPunctuationKerning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06"/>
    <w:rsid w:val="004E319D"/>
    <w:rsid w:val="005313F6"/>
    <w:rsid w:val="005C6134"/>
    <w:rsid w:val="00626716"/>
    <w:rsid w:val="00631A3E"/>
    <w:rsid w:val="00671C94"/>
    <w:rsid w:val="00782546"/>
    <w:rsid w:val="00924CB6"/>
    <w:rsid w:val="00AE6806"/>
    <w:rsid w:val="00CB16D6"/>
    <w:rsid w:val="05E70957"/>
    <w:rsid w:val="0FFFCC18"/>
    <w:rsid w:val="1632373A"/>
    <w:rsid w:val="19B797BE"/>
    <w:rsid w:val="1BFFB56F"/>
    <w:rsid w:val="1DAF5A2C"/>
    <w:rsid w:val="1E5E984C"/>
    <w:rsid w:val="2FED377E"/>
    <w:rsid w:val="2FF75DEF"/>
    <w:rsid w:val="2FFB5FC7"/>
    <w:rsid w:val="36EE3E44"/>
    <w:rsid w:val="37674DB1"/>
    <w:rsid w:val="37BFAF5C"/>
    <w:rsid w:val="37D2A697"/>
    <w:rsid w:val="3BDB8D7E"/>
    <w:rsid w:val="3BFD0D37"/>
    <w:rsid w:val="3C5BD173"/>
    <w:rsid w:val="3DB74A2E"/>
    <w:rsid w:val="3F935653"/>
    <w:rsid w:val="3FEEF683"/>
    <w:rsid w:val="3FFF84B8"/>
    <w:rsid w:val="4B7916AC"/>
    <w:rsid w:val="4F54221A"/>
    <w:rsid w:val="4FB64381"/>
    <w:rsid w:val="4FF3BB87"/>
    <w:rsid w:val="547B7162"/>
    <w:rsid w:val="56FE28BD"/>
    <w:rsid w:val="5FBC0662"/>
    <w:rsid w:val="5FDD8E06"/>
    <w:rsid w:val="637DCC4A"/>
    <w:rsid w:val="63BFD95A"/>
    <w:rsid w:val="65FDBD7D"/>
    <w:rsid w:val="695FDDE7"/>
    <w:rsid w:val="6B7FB8E6"/>
    <w:rsid w:val="6C77F1C3"/>
    <w:rsid w:val="6DE74EA3"/>
    <w:rsid w:val="6E77158E"/>
    <w:rsid w:val="6F5FB207"/>
    <w:rsid w:val="6FAB2823"/>
    <w:rsid w:val="6FDDACC2"/>
    <w:rsid w:val="6FEFA04C"/>
    <w:rsid w:val="6FFF3F2C"/>
    <w:rsid w:val="767CBA5F"/>
    <w:rsid w:val="772D2B8C"/>
    <w:rsid w:val="77573FD0"/>
    <w:rsid w:val="77F74095"/>
    <w:rsid w:val="77F9A896"/>
    <w:rsid w:val="77FED36B"/>
    <w:rsid w:val="7AE7CB81"/>
    <w:rsid w:val="7AF12D8B"/>
    <w:rsid w:val="7B6F9076"/>
    <w:rsid w:val="7BDFD588"/>
    <w:rsid w:val="7CFFDBCC"/>
    <w:rsid w:val="7D17382B"/>
    <w:rsid w:val="7D4F12E9"/>
    <w:rsid w:val="7DFDB109"/>
    <w:rsid w:val="7DFEDD81"/>
    <w:rsid w:val="7E3BCE85"/>
    <w:rsid w:val="7E5FABBE"/>
    <w:rsid w:val="7EEBA858"/>
    <w:rsid w:val="7EEF1A1C"/>
    <w:rsid w:val="7F0D50B3"/>
    <w:rsid w:val="7F7D631A"/>
    <w:rsid w:val="7FCBD681"/>
    <w:rsid w:val="7FCF3643"/>
    <w:rsid w:val="7FDF09F4"/>
    <w:rsid w:val="7FE9418D"/>
    <w:rsid w:val="7FF55457"/>
    <w:rsid w:val="7FFB3758"/>
    <w:rsid w:val="7FFE9A25"/>
    <w:rsid w:val="8D7D0A73"/>
    <w:rsid w:val="8FB788F7"/>
    <w:rsid w:val="8FDF5D89"/>
    <w:rsid w:val="9D1CCA27"/>
    <w:rsid w:val="9D7B8BF9"/>
    <w:rsid w:val="9F7773FE"/>
    <w:rsid w:val="A65E3263"/>
    <w:rsid w:val="ABF41A21"/>
    <w:rsid w:val="B15F850C"/>
    <w:rsid w:val="B6A795EA"/>
    <w:rsid w:val="B757BE08"/>
    <w:rsid w:val="B7A79556"/>
    <w:rsid w:val="BA7B23C6"/>
    <w:rsid w:val="BB9F7ACD"/>
    <w:rsid w:val="BBBF5CEB"/>
    <w:rsid w:val="BBEEB207"/>
    <w:rsid w:val="BD5F08EC"/>
    <w:rsid w:val="BFB7909D"/>
    <w:rsid w:val="BFD76DC5"/>
    <w:rsid w:val="C8AFDC7A"/>
    <w:rsid w:val="CFA90894"/>
    <w:rsid w:val="D2CE13C2"/>
    <w:rsid w:val="D2E93440"/>
    <w:rsid w:val="D3F75471"/>
    <w:rsid w:val="DBFF4591"/>
    <w:rsid w:val="DC764E88"/>
    <w:rsid w:val="DEFF0F55"/>
    <w:rsid w:val="DF677418"/>
    <w:rsid w:val="DFB667B0"/>
    <w:rsid w:val="DFEB66B4"/>
    <w:rsid w:val="DFF63582"/>
    <w:rsid w:val="E655715C"/>
    <w:rsid w:val="EA994012"/>
    <w:rsid w:val="EBFF76A6"/>
    <w:rsid w:val="EEB48D11"/>
    <w:rsid w:val="EEDD650F"/>
    <w:rsid w:val="EF857295"/>
    <w:rsid w:val="EF9D6C0D"/>
    <w:rsid w:val="EFC963C4"/>
    <w:rsid w:val="EFD27FD0"/>
    <w:rsid w:val="EFF36BDB"/>
    <w:rsid w:val="F15F18E9"/>
    <w:rsid w:val="F1ED4FD3"/>
    <w:rsid w:val="F2EE8075"/>
    <w:rsid w:val="F36FB913"/>
    <w:rsid w:val="F5FB6EDC"/>
    <w:rsid w:val="F6A4B4E5"/>
    <w:rsid w:val="F71FC469"/>
    <w:rsid w:val="F7FF35EB"/>
    <w:rsid w:val="FB6F722D"/>
    <w:rsid w:val="FB7F8FBC"/>
    <w:rsid w:val="FBB996B4"/>
    <w:rsid w:val="FBBF780D"/>
    <w:rsid w:val="FBBFA73B"/>
    <w:rsid w:val="FBDE4FAE"/>
    <w:rsid w:val="FBDF1B46"/>
    <w:rsid w:val="FBF66E88"/>
    <w:rsid w:val="FBFFF4A5"/>
    <w:rsid w:val="FC6FA408"/>
    <w:rsid w:val="FCFF4E41"/>
    <w:rsid w:val="FDAFAF9B"/>
    <w:rsid w:val="FDCBF254"/>
    <w:rsid w:val="FDD794C4"/>
    <w:rsid w:val="FDFB1F1D"/>
    <w:rsid w:val="FDFF0ABB"/>
    <w:rsid w:val="FE5888A6"/>
    <w:rsid w:val="FE734873"/>
    <w:rsid w:val="FE9F4533"/>
    <w:rsid w:val="FEBB419A"/>
    <w:rsid w:val="FEFF7BC9"/>
    <w:rsid w:val="FF7F12B8"/>
    <w:rsid w:val="FF7FCA93"/>
    <w:rsid w:val="FFA5B3AA"/>
    <w:rsid w:val="FFB62FC9"/>
    <w:rsid w:val="FFD1D026"/>
    <w:rsid w:val="FFDA27E5"/>
    <w:rsid w:val="FFDB2BD5"/>
    <w:rsid w:val="FFEE9C51"/>
    <w:rsid w:val="FFEEE00D"/>
    <w:rsid w:val="FFF7C08D"/>
    <w:rsid w:val="FFFDA06E"/>
    <w:rsid w:val="FFFF89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rPr>
      <w:rFonts w:cs="宋体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4575</Words>
  <Characters>4667</Characters>
  <Lines>36</Lines>
  <Paragraphs>10</Paragraphs>
  <TotalTime>54</TotalTime>
  <ScaleCrop>false</ScaleCrop>
  <LinksUpToDate>false</LinksUpToDate>
  <CharactersWithSpaces>4684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2021-05-06T22:30:00Z</dcterms:created>
  <dc:creator>wjiang</dc:creator>
  <cp:lastModifiedBy>张琪</cp:lastModifiedBy>
  <cp:lastPrinted>2022-04-09T03:17:00Z</cp:lastPrinted>
  <dcterms:modified xsi:type="dcterms:W3CDTF">2022-04-22T07:52:53Z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C02AE1DBBAE9476E922A86712DD61728</vt:lpwstr>
  </property>
</Properties>
</file>